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8B" w:rsidRDefault="0082398B" w:rsidP="0082398B">
      <w:r>
        <w:t>SZCZEGÓŁOWY OPIS PRZEDMIOTU ZAMÓWIENIA CZĘŚĆ 1</w:t>
      </w:r>
    </w:p>
    <w:p w:rsidR="0082398B" w:rsidRDefault="0082398B" w:rsidP="0082398B">
      <w:r>
        <w:t>Świadczenie usług telekomunikacyjnych polegających na zapewnieniu stałego dostępu do publicznej sieci telefonicznej i sieci teleinformatycznej dla potrzeb Łódzkiego Ośrodka Doradztwa Rolniczego z siedzibą w Bratoszewicach oraz jego terenowych komórek organizacyjnych</w:t>
      </w:r>
      <w:r w:rsidR="00393E26" w:rsidRPr="00393E26">
        <w:t xml:space="preserve"> </w:t>
      </w:r>
      <w:bookmarkStart w:id="0" w:name="OLE_LINK14"/>
      <w:bookmarkStart w:id="1" w:name="OLE_LINK15"/>
      <w:r w:rsidR="00393E26">
        <w:t xml:space="preserve">przez okres </w:t>
      </w:r>
      <w:r w:rsidR="00F4764B">
        <w:t>24</w:t>
      </w:r>
      <w:r w:rsidR="00393E26">
        <w:t xml:space="preserve"> miesięcy od dnia 2 maja 2019 roku</w:t>
      </w:r>
      <w:bookmarkEnd w:id="0"/>
      <w:bookmarkEnd w:id="1"/>
      <w:r w:rsidR="00393E26">
        <w:t>.</w:t>
      </w:r>
    </w:p>
    <w:p w:rsidR="0082398B" w:rsidRDefault="0082398B" w:rsidP="0082398B">
      <w:pPr>
        <w:jc w:val="center"/>
      </w:pPr>
      <w:r>
        <w:t>Telefonia Stacjonarna</w:t>
      </w:r>
    </w:p>
    <w:p w:rsidR="0082398B" w:rsidRDefault="0082398B" w:rsidP="0082398B">
      <w:r>
        <w:t>1. Przedmiotem zamówienia jest świadczenie usług telefonii stacjonarnej, polegające na realizacji połączeń dla linii Zamawiającego w zakresie:</w:t>
      </w:r>
    </w:p>
    <w:p w:rsidR="0082398B" w:rsidRDefault="0082398B" w:rsidP="0082398B">
      <w:r>
        <w:t>a)</w:t>
      </w:r>
      <w:r>
        <w:tab/>
        <w:t>stacjonarnych połączeń wychodzących lokalnych, strefowych, międzystrefowych, międzynarodowych oraz faksowych, a także do sieci telefonii komórkowych,</w:t>
      </w:r>
    </w:p>
    <w:p w:rsidR="0082398B" w:rsidRDefault="0082398B" w:rsidP="0082398B">
      <w:r>
        <w:t>b)</w:t>
      </w:r>
      <w:r>
        <w:tab/>
        <w:t>stacjonarnych połączeń przychodzących lokalnych, strefowych, międzystrefowych, międzynarodowych oraz faksowych a także z sieci telefonii komórkowych, na numery Zamawiającego.</w:t>
      </w:r>
    </w:p>
    <w:p w:rsidR="0082398B" w:rsidRDefault="0082398B" w:rsidP="0082398B">
      <w:r>
        <w:t>Wykonawca zobowiązuje się do świadczenia usług telekomunikacyjnych w sposób ciągły tj. codziennie przez całą dobę, przez okres realizacji zamówienia z zapewnieniem wysokiej jakości połączeń tj. poprawności wybierania numerów, braku zakłóceń utrudniających lub uniemożliwiających korzystanie z usług.</w:t>
      </w:r>
    </w:p>
    <w:p w:rsidR="0082398B" w:rsidRDefault="0082398B" w:rsidP="0082398B">
      <w:r>
        <w:t>3. Realizacja urnowy będzie polegała na utrzymaniu istniejącej numeracji łącza PRA w Centrali ŁODR z zachowaniem dotychczasowej numeracji DDI w zakresie 427103800-99:</w:t>
      </w:r>
    </w:p>
    <w:p w:rsidR="0082398B" w:rsidRDefault="0082398B" w:rsidP="0082398B">
      <w:r>
        <w:t>4. Łącza PRA - ISDN (30B+D) do lokalizacji Bratoszewice, ul. Nowości 32 zawierającego 110 numerów DD</w:t>
      </w:r>
      <w:r w:rsidR="00AA2DFD">
        <w:t>I</w:t>
      </w:r>
      <w:r>
        <w:t>. Konieczne jest zachowanie numerów w zakresie:</w:t>
      </w:r>
    </w:p>
    <w:p w:rsidR="0082398B" w:rsidRDefault="0082398B" w:rsidP="0082398B">
      <w:r>
        <w:t>a)</w:t>
      </w:r>
      <w:r>
        <w:tab/>
        <w:t>427198928;</w:t>
      </w:r>
    </w:p>
    <w:p w:rsidR="0082398B" w:rsidRDefault="0082398B" w:rsidP="0082398B">
      <w:r>
        <w:t>b)</w:t>
      </w:r>
      <w:r>
        <w:tab/>
        <w:t>427198929;</w:t>
      </w:r>
    </w:p>
    <w:p w:rsidR="0082398B" w:rsidRDefault="0082398B" w:rsidP="0082398B">
      <w:r>
        <w:t>c)</w:t>
      </w:r>
      <w:r>
        <w:tab/>
        <w:t>427196083;</w:t>
      </w:r>
    </w:p>
    <w:p w:rsidR="0082398B" w:rsidRDefault="0082398B" w:rsidP="0082398B">
      <w:r>
        <w:t>d)</w:t>
      </w:r>
      <w:r>
        <w:tab/>
        <w:t>427196699;</w:t>
      </w:r>
    </w:p>
    <w:p w:rsidR="00EC0A58" w:rsidRDefault="0082398B" w:rsidP="0082398B">
      <w:r>
        <w:t>e)</w:t>
      </w:r>
      <w:r>
        <w:tab/>
        <w:t xml:space="preserve">427196067; </w:t>
      </w:r>
    </w:p>
    <w:p w:rsidR="0082398B" w:rsidRDefault="00EC0A58" w:rsidP="0082398B">
      <w:r>
        <w:t>f</w:t>
      </w:r>
      <w:r w:rsidR="0082398B">
        <w:t xml:space="preserve">) </w:t>
      </w:r>
      <w:r>
        <w:tab/>
      </w:r>
      <w:r w:rsidR="0082398B">
        <w:t>427196697;</w:t>
      </w:r>
    </w:p>
    <w:p w:rsidR="0082398B" w:rsidRDefault="0082398B" w:rsidP="0082398B">
      <w:r>
        <w:t>g)</w:t>
      </w:r>
      <w:r>
        <w:tab/>
        <w:t>427196695;</w:t>
      </w:r>
    </w:p>
    <w:p w:rsidR="0082398B" w:rsidRDefault="0082398B" w:rsidP="0082398B">
      <w:r>
        <w:t>h)</w:t>
      </w:r>
      <w:r>
        <w:tab/>
        <w:t>427198913;</w:t>
      </w:r>
    </w:p>
    <w:p w:rsidR="0082398B" w:rsidRDefault="0082398B" w:rsidP="0082398B">
      <w:r>
        <w:t>5. Utrzymanie łączy oraz zapewnienie ruchu telekomunikacyjnego we wskazanych lokalizacjach z zachowaniem aktualnej numeracji: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957"/>
        <w:gridCol w:w="959"/>
        <w:gridCol w:w="948"/>
        <w:gridCol w:w="1278"/>
        <w:gridCol w:w="1318"/>
        <w:gridCol w:w="959"/>
        <w:gridCol w:w="1120"/>
      </w:tblGrid>
      <w:tr w:rsidR="0082398B" w:rsidRPr="0082398B" w:rsidTr="00ED03D6">
        <w:trPr>
          <w:trHeight w:val="780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Stacji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Numery MSN lub DDI bez numeru głównego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Urządzenia</w:t>
            </w:r>
          </w:p>
        </w:tc>
      </w:tr>
      <w:tr w:rsidR="0082398B" w:rsidRPr="0082398B" w:rsidTr="00ED03D6">
        <w:trPr>
          <w:trHeight w:val="552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Kierunkowy</w:t>
            </w: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Budynku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8303465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Starościńska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8142846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96-200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EC2111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A7E75">
              <w:rPr>
                <w:rStyle w:val="CharacterStyle5"/>
                <w:color w:val="auto"/>
              </w:rPr>
              <w:t>Konstytucji 3 Maja 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7196099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Bratoszewice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Nowości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7163962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8321131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Reformacka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7212415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Łęczyca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Przedrynek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7831692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98-400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Wieruszów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Ludwika Waryńskiego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8438030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98-300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8213425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6784032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Poddębice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6753600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98-100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Łask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7812198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97-570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Przedbórz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7542798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26-300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Opoczno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7242924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Tomaszów Mazowiecki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Legionów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6837900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97-500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Prymasa Wyszyńskiego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6471985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6325262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540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8323223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96-100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Jagiellońska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8284160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82398B" w:rsidRPr="0082398B" w:rsidTr="00ED03D6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8213197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8213114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82398B" w:rsidRPr="0082398B" w:rsidTr="00ED03D6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8213033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8213113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Kościerzyn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82398B" w:rsidRPr="0082398B" w:rsidTr="00ED03D6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E79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3146334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98-330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276818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LINIA PSTN</w:t>
            </w:r>
          </w:p>
        </w:tc>
      </w:tr>
      <w:tr w:rsidR="0082398B" w:rsidRPr="0082398B" w:rsidTr="00ED03D6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6461047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6461048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82398B" w:rsidRPr="0082398B" w:rsidTr="00EC0A58">
        <w:trPr>
          <w:trHeight w:val="804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6461073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6462840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97-300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82398B" w:rsidRPr="0082398B" w:rsidTr="00EC0A58">
        <w:trPr>
          <w:trHeight w:val="804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2534825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99-300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Sklęczkowska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98B" w:rsidRPr="0082398B" w:rsidRDefault="0082398B" w:rsidP="0082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tr w:rsidR="00EC0A58" w:rsidRPr="0082398B" w:rsidTr="00EC0A58">
        <w:trPr>
          <w:trHeight w:val="804"/>
        </w:trPr>
        <w:tc>
          <w:tcPr>
            <w:tcW w:w="1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2" w:name="_GoBack" w:colFirst="1" w:colLast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13A82" w:rsidRDefault="00813A82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13A82">
              <w:rPr>
                <w:bCs/>
                <w:lang w:eastAsia="pl-PL"/>
              </w:rPr>
              <w:t>7196599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95-011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Bratoszewice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Nowości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0A58" w:rsidRPr="0082398B" w:rsidRDefault="00EC0A58" w:rsidP="00EC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3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OCTOPUS S (ISDN 2B+D)</w:t>
            </w:r>
          </w:p>
        </w:tc>
      </w:tr>
      <w:bookmarkEnd w:id="2"/>
    </w:tbl>
    <w:p w:rsidR="0082398B" w:rsidRDefault="0082398B" w:rsidP="0082398B"/>
    <w:p w:rsidR="0082398B" w:rsidRDefault="0082398B" w:rsidP="0082398B">
      <w:r>
        <w:t>6. Utrzymać wraz z numeracją usługę 30 DDI na 3. dostępach ISDN w lokalizacji Kościerzyn Wróblew 3</w:t>
      </w:r>
    </w:p>
    <w:p w:rsidR="0082398B" w:rsidRDefault="0082398B" w:rsidP="0082398B">
      <w:r>
        <w:t>7. Zamawiający wyraża zgodę w lokalizacjach Zamawiającego określonych w punkcie 5 na podłączenia urządzeń wykonawcy do zasilania energetycznego.</w:t>
      </w:r>
    </w:p>
    <w:p w:rsidR="0082398B" w:rsidRDefault="0082398B" w:rsidP="0082398B">
      <w:r>
        <w:t>8. Zamawiający dopuszcza następujące rozwiązania techniczne dla świadczenia usług telefonii stacjonarnej dla wskazanych w punkcie 5 lokalizacji:</w:t>
      </w:r>
    </w:p>
    <w:p w:rsidR="0082398B" w:rsidRDefault="0082398B" w:rsidP="0082398B">
      <w:r>
        <w:t>a)</w:t>
      </w:r>
      <w:r>
        <w:tab/>
        <w:t>doprowadzenie kablem optotelekomunikacyjnym,</w:t>
      </w:r>
    </w:p>
    <w:p w:rsidR="0082398B" w:rsidRDefault="0082398B" w:rsidP="0082398B">
      <w:r>
        <w:t>b)</w:t>
      </w:r>
      <w:r>
        <w:tab/>
        <w:t>doprowadzenie kablem telekomunikacyjnym o ży</w:t>
      </w:r>
      <w:r w:rsidR="00035407">
        <w:t>ł</w:t>
      </w:r>
      <w:r>
        <w:t xml:space="preserve">ach miedzianych </w:t>
      </w:r>
    </w:p>
    <w:p w:rsidR="0082398B" w:rsidRDefault="0082398B" w:rsidP="0082398B">
      <w:r>
        <w:t>Z uwagi na specyfikę działalności Zamawiającego, a co za tym idzie konieczność zapewnienia nieprzerwanego i niezawodnego połączenia telefonicznego i faksowego. Zamawiający nie dopuszcza świadczenia usługi, będącej przedmiotem niniejszego zamówienia, drogą radiową. W szczególności Zamawiający zwraca uwagę na fakt narażenia transmisji radiowej na możliwość zewnętrznego zakłócenia transmisji radiowej poprzez m.in. blokowanie bądź zagłuszanie sygnału.</w:t>
      </w:r>
    </w:p>
    <w:p w:rsidR="0082398B" w:rsidRDefault="0082398B" w:rsidP="0082398B">
      <w:r>
        <w:t>9. Zamawiający wymaga:</w:t>
      </w:r>
    </w:p>
    <w:p w:rsidR="0082398B" w:rsidRDefault="0082398B" w:rsidP="0082398B">
      <w:r>
        <w:t>a)</w:t>
      </w:r>
      <w:r>
        <w:tab/>
        <w:t>ciągłego świadczenia usług telekomunikacyjnych z ewentualną przerwą na przeniesienie obecnej numeracji telefonicznej z zakresu określonej w punktach 5 (której operatorem macierzystym jest Orange Polska S.A.) do nowego operatora, nie dłuższą jednak niż to wyniku z rozporządzenia Ministra Infrastruktury z dnia 16.12.2010 r. (Dz. U. Nr 249, poz. 1670) w sprawie warunków korzystania z uprawnień w publicznych sieciach telefonicznych.</w:t>
      </w:r>
    </w:p>
    <w:p w:rsidR="0082398B" w:rsidRDefault="0082398B" w:rsidP="0082398B">
      <w:r>
        <w:t>b)</w:t>
      </w:r>
      <w:r>
        <w:tab/>
        <w:t>aby Wykonawca zapewnił możliwość realizacji połączeń ze wszystkimi numerami krajowego planu numeracyjnego, również z numerami usługowymi i specjalnymi innych operatorów,</w:t>
      </w:r>
    </w:p>
    <w:p w:rsidR="0082398B" w:rsidRDefault="0082398B" w:rsidP="0082398B">
      <w:r>
        <w:t>c)</w:t>
      </w:r>
      <w:r>
        <w:tab/>
        <w:t>dla wszystkich numerów o podwyższonej płatności, bezpłatnej blokady połączeń wychodzących przy zachowaniu możliwości jej usunięcia na pisemne żądanie Zamawiającego,</w:t>
      </w:r>
    </w:p>
    <w:p w:rsidR="0082398B" w:rsidRDefault="0082398B" w:rsidP="0082398B">
      <w:r>
        <w:t>d)</w:t>
      </w:r>
      <w:r>
        <w:tab/>
        <w:t>łącza PRA ISDN(30B+D) mają tworzyć wspólną wiązkę PBX dla pełnego zakresu numeracji Zamawiającego.</w:t>
      </w:r>
    </w:p>
    <w:p w:rsidR="0082398B" w:rsidRDefault="0082398B" w:rsidP="0082398B">
      <w:r>
        <w:t>10. opłaty jednorazowej związanej z ewentualnym przeniesieniem obecnego zakresu numeracyjnego do sieci Wykonawcy został wliczony w cenę abonamentów,</w:t>
      </w:r>
    </w:p>
    <w:p w:rsidR="0082398B" w:rsidRDefault="0082398B" w:rsidP="0082398B">
      <w:r>
        <w:t>11. związane z usługami DDI. PBX zostały wliczone w cenę abonamentów,</w:t>
      </w:r>
    </w:p>
    <w:p w:rsidR="0082398B" w:rsidRDefault="0082398B" w:rsidP="0082398B">
      <w:r>
        <w:t>12. zapewnienia usług: CLIP, CLIR, COLP, COLR, FSK, blokada połączeń, zostały wliczone w cenę abonamentów,</w:t>
      </w:r>
    </w:p>
    <w:p w:rsidR="0082398B" w:rsidRDefault="0082398B" w:rsidP="0082398B">
      <w:r>
        <w:lastRenderedPageBreak/>
        <w:t>13. aby wszystkie rodzaje usług niewymienionych, a dostępnych w ofercie Wykonawcy, byty świadczone na rzecz Zamawiającego i rozliczane według zasad oraz cen wynikających z Planu taryfowego Wykonawcy. dołączonego do jego oferty.</w:t>
      </w:r>
    </w:p>
    <w:p w:rsidR="0082398B" w:rsidRDefault="0082398B" w:rsidP="0082398B">
      <w:r>
        <w:t>14. dostarczania na pisemne żądanie Zamawiającego, dla dowolnego przedziału czasu, szczegółowego wykazu wykonywanych na jego rzecz usług telekomunikacyjnych którego kształt ostatecznie zostanie ustalony przez Strony z uwzględnieniem możliwości systemu bilingowego Wykonawcy,</w:t>
      </w:r>
    </w:p>
    <w:p w:rsidR="0082398B" w:rsidRDefault="0082398B" w:rsidP="0082398B">
      <w:r>
        <w:t xml:space="preserve">15. Zamawiający nie dopuszcza możliwości wzrostu cen za abonamenty oraz </w:t>
      </w:r>
      <w:proofErr w:type="spellStart"/>
      <w:r>
        <w:t>polączenio¬minuty</w:t>
      </w:r>
      <w:proofErr w:type="spellEnd"/>
      <w:r>
        <w:t xml:space="preserve"> wyspecyfikowane, w okresie obowiązywania umowy,</w:t>
      </w:r>
    </w:p>
    <w:p w:rsidR="0082398B" w:rsidRDefault="0082398B" w:rsidP="0082398B">
      <w:r>
        <w:t>16. Wykonawca będzie świadczył usługi telekomunikacyjne na łączach analogowych w sposób nie kolidujący z dostawcą usług internetowych ( DSL Orange Polska S.A. )</w:t>
      </w:r>
    </w:p>
    <w:p w:rsidR="0082398B" w:rsidRDefault="0082398B" w:rsidP="0082398B">
      <w:r>
        <w:t xml:space="preserve">17. Wykonawca po zakończeniu okresu rozliczeniowego, zapewni Zamawiającemu bezpłatny biling zbiorczy wszystkich numerów abonamentowych Zamawiającego w postaci jednego pliku (w formacie xls, lub tekstowym). z </w:t>
      </w:r>
      <w:proofErr w:type="spellStart"/>
      <w:r>
        <w:t>maks</w:t>
      </w:r>
      <w:proofErr w:type="spellEnd"/>
      <w:r>
        <w:t xml:space="preserve">, 20 dniowym opóźnieniem, liczonym jako dni robocze, Dla bilingów połączeń realizowanych </w:t>
      </w:r>
      <w:proofErr w:type="spellStart"/>
      <w:r>
        <w:t>roamingu</w:t>
      </w:r>
      <w:proofErr w:type="spellEnd"/>
      <w:r>
        <w:t>, dopuszcza się wydłużenie ww. opóźnienia o następne 30 dni.</w:t>
      </w:r>
    </w:p>
    <w:p w:rsidR="0082398B" w:rsidRDefault="0082398B" w:rsidP="0082398B">
      <w:r>
        <w:t>18. Biling elektroniczny, comiesięczny należy kierować pod wskazany przez Zamawiającego adres: admin@lodr-bratoszewice.pl</w:t>
      </w:r>
    </w:p>
    <w:p w:rsidR="0082398B" w:rsidRDefault="0082398B" w:rsidP="0082398B">
      <w:r>
        <w:t xml:space="preserve">19. </w:t>
      </w:r>
      <w:r w:rsidRPr="00035407">
        <w:t xml:space="preserve">Wykonawca w trakcie trwania umowy zobowiązany będzie do dokonania nieodpłatnie przeniesienia podanego numeru telefonu do wskazanej przez Zamawiającego nowej lokalizacji w związku ze zmianą siedziby. </w:t>
      </w:r>
    </w:p>
    <w:p w:rsidR="0082398B" w:rsidRDefault="0082398B" w:rsidP="0082398B">
      <w:pPr>
        <w:jc w:val="center"/>
      </w:pPr>
      <w:r>
        <w:t>Internet Stacjonarny</w:t>
      </w:r>
    </w:p>
    <w:p w:rsidR="0082398B" w:rsidRDefault="0082398B" w:rsidP="0082398B">
      <w:r>
        <w:t>l. Przedmiotem zamówienia Usługi dostępu do Internetu jest zestawienie i utrzymanie łączy internetowych w sieci stacjonarnej dla potrzeb Zamawiającego drogą kablową w technologii DSL,</w:t>
      </w:r>
    </w:p>
    <w:p w:rsidR="0082398B" w:rsidRDefault="0082398B" w:rsidP="0082398B">
      <w:r>
        <w:t>2. Usługi powinny obejmować :</w:t>
      </w:r>
    </w:p>
    <w:p w:rsidR="0082398B" w:rsidRDefault="0082398B" w:rsidP="0082398B">
      <w:r>
        <w:t>a)</w:t>
      </w:r>
      <w:r>
        <w:tab/>
        <w:t>zestawienie, uruchomienie i udostępnianie przez całą dobę łącza internetowego do placówki Zamawiającego wraz z urządzeniami niezbędnymi do świadczenia usługi;</w:t>
      </w:r>
    </w:p>
    <w:p w:rsidR="0082398B" w:rsidRDefault="0082398B" w:rsidP="0082398B">
      <w:r>
        <w:t>b)</w:t>
      </w:r>
      <w:r>
        <w:tab/>
        <w:t>zapewnienie i utrzymanie łącza internetowego;</w:t>
      </w:r>
    </w:p>
    <w:p w:rsidR="0082398B" w:rsidRDefault="0082398B" w:rsidP="0082398B">
      <w:r>
        <w:t>c)</w:t>
      </w:r>
      <w:r>
        <w:tab/>
        <w:t>przeprowadzenie testów wydajnościowych łącza i dostarczenie ich wyników do Zamawiającego;</w:t>
      </w:r>
    </w:p>
    <w:p w:rsidR="0082398B" w:rsidRDefault="0082398B" w:rsidP="0082398B">
      <w:r>
        <w:t>d)</w:t>
      </w:r>
      <w:r>
        <w:tab/>
        <w:t>zapewnienie przez 24 godziny na doby przez 7 dni w tygodniu 24</w:t>
      </w:r>
      <w:r w:rsidR="00191EBA">
        <w:t>/</w:t>
      </w:r>
      <w:r>
        <w:t>7 drogą kablową stałego dostępu do Internetu o parametrach zgodnych z Tabelą DSL;</w:t>
      </w:r>
    </w:p>
    <w:p w:rsidR="0082398B" w:rsidRDefault="0082398B" w:rsidP="0082398B">
      <w:r>
        <w:t>e)</w:t>
      </w:r>
      <w:r>
        <w:tab/>
        <w:t>zapewnienie ciągłego 24 godzinnego dostępu do serwisu dostępnego przez 365 dni w roku:</w:t>
      </w:r>
    </w:p>
    <w:p w:rsidR="0082398B" w:rsidRDefault="0082398B" w:rsidP="0082398B">
      <w:r>
        <w:t>okres rozliczeniowy równy jest jednemu miesiącowi kalendarzowemu liczonemu od pierwszego do ostatniego dnia miesiąca.</w:t>
      </w:r>
    </w:p>
    <w:p w:rsidR="0082398B" w:rsidRDefault="0082398B" w:rsidP="0082398B">
      <w:r>
        <w:t>3. Przy podłączaniu linii należy zachować ciągłości świadczenia usług. Wszelkie przerwy mogą wynikać jedynie z procedur wynikających z właściwych przepisów i muszą być wcześniej uzgodnione z Zamawiającym.</w:t>
      </w:r>
    </w:p>
    <w:p w:rsidR="0082398B" w:rsidRDefault="0082398B" w:rsidP="0082398B">
      <w:r>
        <w:lastRenderedPageBreak/>
        <w:t>4. Zamawiający zastrzega sobie możliwość składania. przez osoby upoważnione przez Zmawiającego, reklamacji, zmian lokalizacji stacji, potrzeb instalacji nowych stacji w ramach możliwości technicznych Wykonawcy abonenckich drogą elektroniczną (e-mail), telefoniczną lub pisemnie.</w:t>
      </w:r>
    </w:p>
    <w:p w:rsidR="0082398B" w:rsidRDefault="0082398B" w:rsidP="0082398B">
      <w:r>
        <w:t xml:space="preserve">5. Wykonawca gwarantuje </w:t>
      </w:r>
      <w:r w:rsidRPr="00035407">
        <w:t>bezpłatne przeniesienie numeracji i jej uruchomienie w swojej sieci w pierwszym dniu po zakończeniu okresu obowiązywania umowy u dotychczasowego operatora zgodnie z istniejącymi przepisami oraz na koszt Wykonawcy.</w:t>
      </w:r>
    </w:p>
    <w:p w:rsidR="0082398B" w:rsidRDefault="0082398B" w:rsidP="0082398B">
      <w:r>
        <w:t>6. Wykonawca wyznaczy minimum jedną dedykowaną osobę odpowiedzialną za prawidłowe wykonywanie postanowień niniejszej umowy i do kontaktów bezpośrednich.</w:t>
      </w:r>
    </w:p>
    <w:p w:rsidR="0082398B" w:rsidRDefault="0082398B" w:rsidP="0082398B">
      <w:r>
        <w:t>7, Wyklucza się realizowanie połączeń w technologii GSM.</w:t>
      </w:r>
    </w:p>
    <w:p w:rsidR="0082398B" w:rsidRDefault="0082398B" w:rsidP="0082398B">
      <w:r>
        <w:t>8. Możliwość aktywowania nowych łączy w trakcie trwania zawartej umowy w ilości określonej przez zamawiającego na takich samych warunkach jak dotychczasowe objęte przetargiem w ramach możliwości technicznych Wykonawcy. Wykonawca będzie mógł pobrać jednorazową opłatę instalacyjną za nowe łącza w kwocie nie wyższej niż wynikająca ze standardowego cennika z uwzględnieniem zniżek, które Zamawiający mógłby otrzymać zamawiając łącze w ramach aktualnie obowiązujących promocji.</w:t>
      </w:r>
    </w:p>
    <w:p w:rsidR="0082398B" w:rsidRDefault="0082398B" w:rsidP="0082398B">
      <w:r>
        <w:t>9.</w:t>
      </w:r>
      <w:r>
        <w:tab/>
        <w:t>Możliwość przenoszenia numerów pomiędzy wiązkami DDI.</w:t>
      </w:r>
    </w:p>
    <w:p w:rsidR="0082398B" w:rsidRDefault="0082398B" w:rsidP="0082398B">
      <w:r>
        <w:t>10.</w:t>
      </w:r>
      <w:r>
        <w:tab/>
        <w:t>Wszystkie czynności związane ze sprawdzeniem możliwości dostępu do obiektów oraz technicznej realizacji usług leży po stronie Wykonawcy.</w:t>
      </w:r>
    </w:p>
    <w:p w:rsidR="0082398B" w:rsidRDefault="0082398B" w:rsidP="0082398B">
      <w:r>
        <w:t>11.</w:t>
      </w:r>
      <w:r>
        <w:tab/>
        <w:t>Termin świadczenia Wszystkich usług kończyć się będzie z końcem niniejszej umowy.</w:t>
      </w:r>
    </w:p>
    <w:p w:rsidR="0082398B" w:rsidRDefault="0082398B" w:rsidP="0082398B">
      <w:r>
        <w:t>12.</w:t>
      </w:r>
      <w:r>
        <w:tab/>
        <w:t>Pojęcie łącze/styk PRA (30B+D), BRA (2B+D)</w:t>
      </w:r>
      <w:r>
        <w:tab/>
        <w:t>lub PSTN oznacza, że zakończenie sieci</w:t>
      </w:r>
    </w:p>
    <w:p w:rsidR="0082398B" w:rsidRDefault="0082398B" w:rsidP="0082398B">
      <w:r>
        <w:t>musi spełniać standardy oraz obsługiwać protokoły dla tego rodzaju zakończeń.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536"/>
        <w:gridCol w:w="1258"/>
        <w:gridCol w:w="777"/>
        <w:gridCol w:w="788"/>
        <w:gridCol w:w="945"/>
        <w:gridCol w:w="1544"/>
        <w:gridCol w:w="895"/>
      </w:tblGrid>
      <w:tr w:rsidR="00B45038" w:rsidRPr="00DE7BC3" w:rsidTr="004F2540">
        <w:trPr>
          <w:trHeight w:hRule="exact" w:val="90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684"/>
              <w:ind w:right="143"/>
              <w:jc w:val="right"/>
              <w:rPr>
                <w:rStyle w:val="CharacterStyle2"/>
                <w:rFonts w:ascii="Tahoma" w:hAnsi="Tahoma" w:cs="Tahoma"/>
                <w:spacing w:val="10"/>
                <w:sz w:val="15"/>
                <w:szCs w:val="15"/>
              </w:rPr>
            </w:pPr>
            <w:r w:rsidRPr="00DE7BC3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6E7BA3B9" wp14:editId="1844EE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5352415</wp:posOffset>
                      </wp:positionV>
                      <wp:extent cx="5678805" cy="0"/>
                      <wp:effectExtent l="9525" t="13335" r="7620" b="5715"/>
                      <wp:wrapSquare wrapText="bothSides"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A2A1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A4342" id="Łącznik prosty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21.45pt" to="447.15pt,4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RaJwIAADQEAAAOAAAAZHJzL2Uyb0RvYy54bWysU8uO2jAU3VfqP1jZM0mYwDARYYQS6Gba&#10;Is30A4ztEGsc27INgVZddNE/a/+r1w5BTLupqm78utfH5557PH84tgIdmLFcySJKb5IIMUkU5XJX&#10;RJ+e16NZhKzDkmKhJCuiE7PRw+Ltm3mnczZWjRKUGQQg0uadLqLGOZ3HsSUNa7G9UZpJCNbKtNjB&#10;1uxianAH6K2Ix0kyjTtlqDaKMGvhtOqD0SLg1zUj7mNdW+aQKCLg5sJowrj1Y7yY43xnsG44OdPA&#10;/8CixVzCoxeoCjuM9ob/AdVyYpRVtbshqo1VXXPCQg1QTZr8Vs1TgzULtYA4Vl9ksv8Plnw4bAzi&#10;tIgmEZK4hRb9/PbjO/ks+QsCXa07oYlXqdM2h+RSboyvkxzlk35U5MUiqcoGyx0LbJ9PGiBSfyN+&#10;dcVvrIa3tt17RSEH750Kkh1r03pIEAMdQ2dOl86wo0MEDifTu9ksAYpkiMU4Hy5qY907plrga6HB&#10;gksvGs7x4dE6TwTnQ4o/lmrNhQiNFxJ1RTS9nSThglWCUx/0adbstqUw6IDBOsvxMl32VUHkOs2o&#10;vaQBrGGYrs5rh7no1/C4kB4PSgE651XvjS/3yf1qtpplo2w8XY2ypKpGy3WZjabr9G5S3VZlWaVf&#10;PbU0yxtOKZOe3eDTNPs7H5x/TO+wi1MvMsSv0YNeQHaYA+nQS9++3ghbRU8bM/QYrBmSz9/Ie/96&#10;D+vrz774BQAA//8DAFBLAwQUAAYACAAAACEAdrazYt4AAAAIAQAADwAAAGRycy9kb3ducmV2Lnht&#10;bEyPQUvDQBCF74L/YRnBi7Qba6lpzKYUoSD0ZFTocZtMk9jsbMxOm+ivdwRBjzPv8d730tXoWnXG&#10;PjSeDNxOI1BIhS8bqgy8vmwmMajAlkrbekIDnxhglV1epDYp/UDPeM65UhJCIbEGauYu0ToUNTob&#10;pr5DEu3ge2dZzr7SZW8HCXetnkXRQjvbkDTUtsPHGotjfnJScsyrp+H9i98+tju92G22a765N+b6&#10;alw/gGIc+c8MP/iCDpkw7f2JyqBaAzKEDcTz2RKUyPFyfgdq//vRWar/D8i+AQAA//8DAFBLAQIt&#10;ABQABgAIAAAAIQC2gziS/gAAAOEBAAATAAAAAAAAAAAAAAAAAAAAAABbQ29udGVudF9UeXBlc10u&#10;eG1sUEsBAi0AFAAGAAgAAAAhADj9If/WAAAAlAEAAAsAAAAAAAAAAAAAAAAALwEAAF9yZWxzLy5y&#10;ZWxzUEsBAi0AFAAGAAgAAAAhANrJdFonAgAANAQAAA4AAAAAAAAAAAAAAAAALgIAAGRycy9lMm9E&#10;b2MueG1sUEsBAi0AFAAGAAgAAAAhAHa2s2LeAAAACAEAAA8AAAAAAAAAAAAAAAAAgQQAAGRycy9k&#10;b3ducmV2LnhtbFBLBQYAAAAABAAEAPMAAACMBQAAAAA=&#10;" o:allowincell="f" strokecolor="#a2a1a1" strokeweight=".5pt">
                      <w10:wrap type="square"/>
                    </v:line>
                  </w:pict>
                </mc:Fallback>
              </mc:AlternateContent>
            </w: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684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pacing w:val="10"/>
                <w:sz w:val="15"/>
                <w:szCs w:val="15"/>
              </w:rPr>
              <w:t>Miejscowość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684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Ulica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 w:line="292" w:lineRule="auto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Numer</w:t>
            </w: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br/>
              <w:t>Budynku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648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 w:line="292" w:lineRule="auto"/>
              <w:rPr>
                <w:rStyle w:val="CharacterStyle5"/>
                <w:color w:val="auto"/>
                <w:spacing w:val="6"/>
              </w:rPr>
            </w:pPr>
            <w:r w:rsidRPr="00DE7BC3">
              <w:rPr>
                <w:rStyle w:val="CharacterStyle5"/>
                <w:color w:val="auto"/>
              </w:rPr>
              <w:t>Rodzaj</w:t>
            </w:r>
            <w:r w:rsidRPr="00DE7BC3">
              <w:rPr>
                <w:rStyle w:val="CharacterStyle5"/>
                <w:color w:val="auto"/>
              </w:rPr>
              <w:br/>
              <w:t>Obecnego</w:t>
            </w:r>
            <w:r w:rsidRPr="00DE7BC3">
              <w:rPr>
                <w:rStyle w:val="CharacterStyle5"/>
                <w:color w:val="auto"/>
              </w:rPr>
              <w:br/>
            </w:r>
            <w:r w:rsidRPr="00DE7BC3">
              <w:rPr>
                <w:rStyle w:val="CharacterStyle5"/>
                <w:color w:val="auto"/>
                <w:spacing w:val="6"/>
              </w:rPr>
              <w:t>Urządzenia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 w:line="297" w:lineRule="auto"/>
              <w:jc w:val="center"/>
              <w:rPr>
                <w:rStyle w:val="CharacterStyle2"/>
                <w:rFonts w:ascii="Tahoma" w:hAnsi="Tahoma" w:cs="Tahoma"/>
                <w:sz w:val="15"/>
                <w:szCs w:val="15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</w:rPr>
              <w:t>Wymagana</w:t>
            </w:r>
            <w:r w:rsidRPr="00DE7BC3">
              <w:rPr>
                <w:rStyle w:val="CharacterStyle2"/>
                <w:rFonts w:ascii="Tahoma" w:hAnsi="Tahoma" w:cs="Tahoma"/>
                <w:sz w:val="15"/>
                <w:szCs w:val="15"/>
              </w:rPr>
              <w:br/>
              <w:t>prędkość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108"/>
              <w:rPr>
                <w:rStyle w:val="CharacterStyle5"/>
                <w:color w:val="auto"/>
                <w:spacing w:val="-2"/>
                <w:lang w:eastAsia="en-US"/>
              </w:rPr>
            </w:pPr>
            <w:r w:rsidRPr="00DE7BC3">
              <w:rPr>
                <w:rStyle w:val="CharacterStyle5"/>
                <w:color w:val="auto"/>
              </w:rPr>
              <w:t>Ilość</w:t>
            </w:r>
            <w:r w:rsidRPr="00DE7BC3">
              <w:rPr>
                <w:rStyle w:val="CharacterStyle5"/>
                <w:color w:val="auto"/>
              </w:rPr>
              <w:br/>
              <w:t>wymaganych</w:t>
            </w:r>
            <w:r w:rsidRPr="00DE7BC3">
              <w:rPr>
                <w:rStyle w:val="CharacterStyle5"/>
                <w:color w:val="auto"/>
              </w:rPr>
              <w:br/>
              <w:t>stałych</w:t>
            </w:r>
            <w:r w:rsidRPr="00DE7BC3">
              <w:rPr>
                <w:rStyle w:val="CharacterStyle5"/>
                <w:color w:val="auto"/>
              </w:rPr>
              <w:br/>
            </w:r>
            <w:r w:rsidRPr="00DE7BC3">
              <w:rPr>
                <w:rStyle w:val="CharacterStyle5"/>
                <w:color w:val="auto"/>
                <w:spacing w:val="-2"/>
              </w:rPr>
              <w:t xml:space="preserve">adresów </w:t>
            </w:r>
            <w:r w:rsidRPr="00DE7BC3">
              <w:rPr>
                <w:rStyle w:val="CharacterStyle5"/>
                <w:color w:val="auto"/>
                <w:spacing w:val="-2"/>
                <w:lang w:eastAsia="en-US"/>
              </w:rPr>
              <w:t>IP</w:t>
            </w:r>
          </w:p>
        </w:tc>
      </w:tr>
      <w:tr w:rsidR="00B45038" w:rsidRPr="00DE7BC3" w:rsidTr="004F2540">
        <w:trPr>
          <w:trHeight w:hRule="exact" w:val="3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spacing w:val="10"/>
              </w:rPr>
            </w:pPr>
            <w:r w:rsidRPr="00DE7BC3">
              <w:rPr>
                <w:rStyle w:val="CharacterStyle5"/>
                <w:color w:val="auto"/>
                <w:spacing w:val="10"/>
              </w:rPr>
              <w:t>ŁOWICZ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spacing w:val="-6"/>
                <w:lang w:eastAsia="en-US"/>
              </w:rPr>
            </w:pPr>
            <w:r w:rsidRPr="00DE7BC3">
              <w:rPr>
                <w:rStyle w:val="CharacterStyle5"/>
                <w:color w:val="auto"/>
                <w:spacing w:val="4"/>
              </w:rPr>
              <w:t>STAROŚCIŃSKA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99-400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bookmarkStart w:id="3" w:name="OLE_LINK8"/>
            <w:bookmarkStart w:id="4" w:name="OLE_LINK9"/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  <w:bookmarkEnd w:id="3"/>
            <w:bookmarkEnd w:id="4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57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216"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line="295" w:lineRule="auto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spacing w:val="10"/>
              </w:rPr>
              <w:t>NAWA</w:t>
            </w:r>
            <w:r w:rsidRPr="00DE7BC3">
              <w:rPr>
                <w:rStyle w:val="CharacterStyle5"/>
                <w:color w:val="auto"/>
                <w:lang w:eastAsia="en-US"/>
              </w:rPr>
              <w:br/>
              <w:t>MAZOWIECKA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AA7E75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AA7E75">
              <w:rPr>
                <w:rStyle w:val="CharacterStyle5"/>
                <w:color w:val="auto"/>
                <w:lang w:eastAsia="en-US"/>
              </w:rPr>
              <w:t>Konstytucji 3 Maja 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96-200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spacing w:before="180"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180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ŁĘCZYCA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PRZEDRYNEK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99-100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2C0610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ZGIERZ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PODGÓRNA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95-100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BRZEZINY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REFORMACKA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95-0</w:t>
            </w:r>
            <w:r>
              <w:rPr>
                <w:rStyle w:val="CharacterStyle5"/>
                <w:color w:val="auto"/>
                <w:lang w:eastAsia="en-US"/>
              </w:rPr>
              <w:t>6</w:t>
            </w:r>
            <w:r w:rsidRPr="00DE7BC3">
              <w:rPr>
                <w:rStyle w:val="CharacterStyle5"/>
                <w:color w:val="auto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2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2"/>
                <w:sz w:val="15"/>
                <w:szCs w:val="15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2"/>
                <w:sz w:val="15"/>
                <w:szCs w:val="15"/>
              </w:rPr>
              <w:t>DSL</w:t>
            </w:r>
            <w:r w:rsidR="00B45038" w:rsidRPr="00DE7BC3">
              <w:rPr>
                <w:rStyle w:val="CharacterStyle2"/>
                <w:rFonts w:ascii="Tahoma" w:hAnsi="Tahoma" w:cs="Tahoma"/>
                <w:spacing w:val="2"/>
                <w:sz w:val="15"/>
                <w:szCs w:val="15"/>
                <w:lang w:eastAsia="en-US"/>
              </w:rPr>
              <w:t xml:space="preserve"> 10/1 </w:t>
            </w:r>
            <w:proofErr w:type="spellStart"/>
            <w:r w:rsidR="00B45038">
              <w:rPr>
                <w:rStyle w:val="CharacterStyle2"/>
                <w:rFonts w:ascii="Tahoma" w:hAnsi="Tahoma" w:cs="Tahoma"/>
                <w:spacing w:val="2"/>
                <w:sz w:val="15"/>
                <w:szCs w:val="15"/>
                <w:lang w:eastAsia="en-US"/>
              </w:rPr>
              <w:t>M</w:t>
            </w:r>
            <w:r w:rsidR="00B45038" w:rsidRPr="00DE7BC3">
              <w:rPr>
                <w:rStyle w:val="CharacterStyle2"/>
                <w:rFonts w:ascii="Tahoma" w:hAnsi="Tahoma" w:cs="Tahoma"/>
                <w:spacing w:val="2"/>
                <w:sz w:val="15"/>
                <w:szCs w:val="15"/>
                <w:lang w:eastAsia="en-US"/>
              </w:rPr>
              <w:t>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2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C06B58">
        <w:trPr>
          <w:trHeight w:hRule="exact" w:val="71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252"/>
              <w:ind w:right="23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52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</w:rPr>
              <w:t>WI</w:t>
            </w:r>
            <w:r w:rsidRPr="00DE7BC3">
              <w:rPr>
                <w:rStyle w:val="CharacterStyle5"/>
                <w:color w:val="auto"/>
                <w:lang w:eastAsia="en-US"/>
              </w:rPr>
              <w:t>ERUSZ</w:t>
            </w:r>
            <w:r>
              <w:rPr>
                <w:rStyle w:val="CharacterStyle5"/>
                <w:color w:val="auto"/>
                <w:lang w:eastAsia="en-US"/>
              </w:rPr>
              <w:t>Ó</w:t>
            </w:r>
            <w:r w:rsidRPr="00DE7BC3">
              <w:rPr>
                <w:rStyle w:val="CharacterStyle5"/>
                <w:color w:val="auto"/>
                <w:lang w:eastAsia="en-US"/>
              </w:rPr>
              <w:t>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72" w:line="290" w:lineRule="auto"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LUDWIKA</w:t>
            </w:r>
            <w:r w:rsidRPr="00DE7BC3">
              <w:rPr>
                <w:rStyle w:val="CharacterStyle5"/>
                <w:color w:val="auto"/>
              </w:rPr>
              <w:br/>
            </w:r>
            <w:r w:rsidRPr="00DE7BC3">
              <w:rPr>
                <w:rStyle w:val="CharacterStyle5"/>
                <w:color w:val="auto"/>
                <w:lang w:eastAsia="en-US"/>
              </w:rPr>
              <w:t xml:space="preserve">WARYŃSKI </w:t>
            </w:r>
            <w:r w:rsidRPr="00DE7BC3">
              <w:rPr>
                <w:rStyle w:val="CharacterStyle5"/>
                <w:color w:val="auto"/>
              </w:rPr>
              <w:t>EGO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52"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52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98-400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52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C06B58" w:rsidP="00781821">
            <w:pPr>
              <w:pStyle w:val="Style1"/>
              <w:kinsoku w:val="0"/>
              <w:autoSpaceDE/>
              <w:autoSpaceDN/>
              <w:adjustRightInd/>
              <w:spacing w:before="252"/>
              <w:ind w:left="140"/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Do </w:t>
            </w:r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52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WIELU</w:t>
            </w:r>
            <w:r>
              <w:rPr>
                <w:rStyle w:val="CharacterStyle5"/>
                <w:color w:val="auto"/>
                <w:lang w:eastAsia="en-US"/>
              </w:rPr>
              <w:t>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ZIELONA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98-300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LINIA 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2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KO</w:t>
            </w:r>
            <w:r>
              <w:rPr>
                <w:rStyle w:val="CharacterStyle5"/>
                <w:color w:val="auto"/>
                <w:lang w:eastAsia="en-US"/>
              </w:rPr>
              <w:t>Ś</w:t>
            </w:r>
            <w:r w:rsidRPr="00DE7BC3">
              <w:rPr>
                <w:rStyle w:val="CharacterStyle5"/>
                <w:color w:val="auto"/>
                <w:lang w:eastAsia="en-US"/>
              </w:rPr>
              <w:t>CIERZYN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98-285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C06B58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 xml:space="preserve">Do </w:t>
            </w:r>
            <w:r w:rsidR="00B45038" w:rsidRPr="00DE7BC3"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 xml:space="preserve">DSL </w:t>
            </w:r>
            <w:r w:rsidR="004F2540"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>10</w:t>
            </w:r>
            <w:r w:rsidR="00B45038" w:rsidRPr="00DE7BC3"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 xml:space="preserve">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14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PODDĘBICE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KALISKA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>
              <w:rPr>
                <w:rStyle w:val="CharacterStyle5"/>
                <w:color w:val="auto"/>
                <w:lang w:eastAsia="en-US"/>
              </w:rPr>
              <w:t>5/</w:t>
            </w:r>
            <w:r w:rsidRPr="00DE7BC3">
              <w:rPr>
                <w:rStyle w:val="CharacterStyle5"/>
                <w:color w:val="auto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99-200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LINIA 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2C0610">
        <w:trPr>
          <w:trHeight w:hRule="exact" w:val="5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</w:pPr>
            <w:r w:rsidRPr="00DE7BC3"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ŁASK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WARSZAWSKA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16A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98-100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-2"/>
                <w:sz w:val="16"/>
                <w:szCs w:val="16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>
              <w:rPr>
                <w:rStyle w:val="CharacterStyle2"/>
                <w:rFonts w:ascii="Tahoma" w:hAnsi="Tahoma" w:cs="Tahoma"/>
                <w:spacing w:val="-2"/>
                <w:sz w:val="16"/>
                <w:szCs w:val="16"/>
                <w:lang w:eastAsia="en-US"/>
              </w:rPr>
              <w:t>M</w:t>
            </w:r>
            <w:r w:rsidR="00B45038" w:rsidRPr="00DE7BC3">
              <w:rPr>
                <w:rStyle w:val="CharacterStyle2"/>
                <w:rFonts w:ascii="Tahoma" w:hAnsi="Tahoma" w:cs="Tahoma"/>
                <w:spacing w:val="-2"/>
                <w:sz w:val="16"/>
                <w:szCs w:val="16"/>
                <w:lang w:eastAsia="en-US"/>
              </w:rPr>
              <w:t>bit</w:t>
            </w:r>
            <w:proofErr w:type="spellEnd"/>
            <w:r>
              <w:rPr>
                <w:rStyle w:val="CharacterStyle2"/>
                <w:rFonts w:ascii="Tahoma" w:hAnsi="Tahoma" w:cs="Tahoma"/>
                <w:spacing w:val="-2"/>
                <w:sz w:val="16"/>
                <w:szCs w:val="16"/>
                <w:lang w:eastAsia="en-US"/>
              </w:rPr>
              <w:t>/</w:t>
            </w:r>
            <w:r w:rsidR="00B45038" w:rsidRPr="00DE7BC3">
              <w:rPr>
                <w:rStyle w:val="CharacterStyle2"/>
                <w:rFonts w:ascii="Tahoma" w:hAnsi="Tahoma" w:cs="Tahoma"/>
                <w:spacing w:val="-2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rFonts w:ascii="Verdana" w:hAnsi="Verdana" w:cs="Verdana"/>
                <w:color w:val="auto"/>
                <w:sz w:val="16"/>
                <w:szCs w:val="16"/>
                <w:lang w:eastAsia="en-US"/>
              </w:rPr>
            </w:pPr>
            <w:r w:rsidRPr="00DE7BC3">
              <w:rPr>
                <w:rStyle w:val="CharacterStyle5"/>
                <w:rFonts w:ascii="Verdana" w:hAnsi="Verdana" w:cs="Verdana"/>
                <w:color w:val="auto"/>
                <w:sz w:val="16"/>
                <w:szCs w:val="16"/>
                <w:lang w:eastAsia="en-US"/>
              </w:rPr>
              <w:t>1</w:t>
            </w:r>
          </w:p>
        </w:tc>
      </w:tr>
      <w:tr w:rsidR="00B45038" w:rsidRPr="00DE7BC3" w:rsidTr="002C0610">
        <w:trPr>
          <w:trHeight w:hRule="exact" w:val="70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lastRenderedPageBreak/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PAJĘCZNO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4F2540" w:rsidP="00781821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 MAJA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98-330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40" w:rsidRDefault="004F2540" w:rsidP="00781821">
            <w:pPr>
              <w:pStyle w:val="Style5"/>
              <w:kinsoku w:val="0"/>
              <w:autoSpaceDE/>
              <w:autoSpaceDN/>
              <w:spacing w:line="292" w:lineRule="auto"/>
              <w:rPr>
                <w:rStyle w:val="CharacterStyle5"/>
                <w:color w:val="auto"/>
                <w:lang w:eastAsia="en-US"/>
              </w:rPr>
            </w:pPr>
          </w:p>
          <w:p w:rsidR="004F2540" w:rsidRDefault="004F2540" w:rsidP="00781821">
            <w:pPr>
              <w:pStyle w:val="Style5"/>
              <w:kinsoku w:val="0"/>
              <w:autoSpaceDE/>
              <w:autoSpaceDN/>
              <w:spacing w:line="292" w:lineRule="auto"/>
              <w:rPr>
                <w:rStyle w:val="CharacterStyle5"/>
                <w:color w:val="auto"/>
                <w:lang w:eastAsia="en-US"/>
              </w:rPr>
            </w:pPr>
          </w:p>
          <w:p w:rsidR="00B45038" w:rsidRPr="00DE7BC3" w:rsidRDefault="004F2540" w:rsidP="00781821">
            <w:pPr>
              <w:pStyle w:val="Style5"/>
              <w:kinsoku w:val="0"/>
              <w:autoSpaceDE/>
              <w:autoSpaceDN/>
              <w:spacing w:line="292" w:lineRule="auto"/>
              <w:rPr>
                <w:rStyle w:val="CharacterStyle5"/>
                <w:color w:val="auto"/>
                <w:lang w:eastAsia="en-US"/>
              </w:rPr>
            </w:pPr>
            <w:r w:rsidRPr="00DE7936">
              <w:rPr>
                <w:rStyle w:val="CharacterStyle5"/>
                <w:color w:val="auto"/>
                <w:lang w:eastAsia="en-US"/>
              </w:rPr>
              <w:t>LINIA 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2C0610" w:rsidP="002C0610">
            <w:pPr>
              <w:pStyle w:val="Style1"/>
              <w:kinsoku w:val="0"/>
              <w:autoSpaceDE/>
              <w:autoSpaceDN/>
              <w:adjustRightInd/>
              <w:spacing w:before="432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D</w:t>
            </w: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S</w:t>
            </w:r>
            <w:r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L 10/1 </w:t>
            </w:r>
            <w:proofErr w:type="spellStart"/>
            <w:r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432"/>
              <w:jc w:val="center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</w:t>
            </w:r>
          </w:p>
        </w:tc>
      </w:tr>
      <w:tr w:rsidR="00B45038" w:rsidRPr="00DE7BC3" w:rsidTr="002C0610">
        <w:trPr>
          <w:trHeight w:hRule="exact" w:val="42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PRZEDBÓRZ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MOSTOWA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97-570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spacing w:val="8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LINIA</w:t>
            </w:r>
            <w:r w:rsidR="00B45038" w:rsidRPr="00DE7BC3">
              <w:rPr>
                <w:rStyle w:val="CharacterStyle5"/>
                <w:color w:val="auto"/>
                <w:spacing w:val="8"/>
                <w:lang w:eastAsia="en-US"/>
              </w:rPr>
              <w:t xml:space="preserve"> </w:t>
            </w:r>
            <w:r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2C0610">
        <w:trPr>
          <w:trHeight w:hRule="exact" w:val="43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OPOCZNO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PIOTRKOWSKA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26-300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LINIA</w:t>
            </w:r>
            <w:r w:rsidR="00B45038" w:rsidRPr="00DE7BC3">
              <w:rPr>
                <w:rStyle w:val="CharacterStyle5"/>
                <w:color w:val="auto"/>
                <w:lang w:eastAsia="en-US"/>
              </w:rPr>
              <w:t xml:space="preserve"> </w:t>
            </w:r>
            <w:r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</w:t>
            </w: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10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2C0610">
        <w:trPr>
          <w:trHeight w:hRule="exact" w:val="57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216"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line="292" w:lineRule="auto"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TOMASZÓW</w:t>
            </w:r>
            <w:r w:rsidRPr="00DE7BC3">
              <w:rPr>
                <w:rStyle w:val="CharacterStyle5"/>
                <w:color w:val="auto"/>
              </w:rPr>
              <w:br/>
              <w:t>MAZOWIECKI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LEGIONÓW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25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97-200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spacing w:before="180"/>
              <w:ind w:left="140"/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  <w:t>/</w:t>
            </w:r>
            <w:r>
              <w:rPr>
                <w:rStyle w:val="CharacterStyle2"/>
                <w:rFonts w:ascii="Verdana" w:hAnsi="Verdana" w:cs="Verdana"/>
                <w:sz w:val="16"/>
                <w:szCs w:val="16"/>
                <w:lang w:eastAsia="en-US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180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4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RADOMSKO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>
              <w:rPr>
                <w:rStyle w:val="CharacterStyle5"/>
                <w:color w:val="auto"/>
              </w:rPr>
              <w:t>PRYMASA WYSZYŃSKIEGO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4F2540" w:rsidP="00781821">
            <w:pPr>
              <w:pStyle w:val="Style5"/>
              <w:kinsoku w:val="0"/>
              <w:autoSpaceDE/>
              <w:autoSpaceDN/>
              <w:rPr>
                <w:rStyle w:val="CharacterStyle5"/>
                <w:rFonts w:ascii="Arial" w:hAnsi="Arial" w:cs="Arial"/>
                <w:color w:val="auto"/>
                <w:sz w:val="17"/>
                <w:szCs w:val="17"/>
                <w:lang w:eastAsia="en-US"/>
              </w:rPr>
            </w:pPr>
            <w:r>
              <w:rPr>
                <w:rStyle w:val="CharacterStyle5"/>
                <w:rFonts w:ascii="Arial" w:hAnsi="Arial" w:cs="Arial"/>
                <w:color w:val="auto"/>
                <w:sz w:val="17"/>
                <w:szCs w:val="17"/>
                <w:lang w:eastAsia="en-US"/>
              </w:rPr>
              <w:t>142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97-500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C06B58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Do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C06B58">
        <w:trPr>
          <w:trHeight w:hRule="exact" w:val="5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spacing w:before="216"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line="288" w:lineRule="auto"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PIOTRKÓW</w:t>
            </w:r>
            <w:r w:rsidRPr="00DE7BC3">
              <w:rPr>
                <w:rStyle w:val="CharacterStyle5"/>
                <w:color w:val="auto"/>
              </w:rPr>
              <w:br/>
              <w:t>TRYBUNALSKI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spacing w:val="4"/>
              </w:rPr>
            </w:pPr>
            <w:r w:rsidRPr="00DE7BC3">
              <w:rPr>
                <w:rStyle w:val="CharacterStyle5"/>
                <w:color w:val="auto"/>
                <w:spacing w:val="4"/>
              </w:rPr>
              <w:t>KASZTELAŃSKA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180"/>
              <w:rPr>
                <w:rStyle w:val="CharacterStyle5"/>
                <w:rFonts w:ascii="Arial" w:hAnsi="Arial" w:cs="Arial"/>
                <w:color w:val="auto"/>
                <w:sz w:val="17"/>
                <w:szCs w:val="17"/>
                <w:lang w:eastAsia="en-US"/>
              </w:rPr>
            </w:pPr>
            <w:r w:rsidRPr="00DE7BC3">
              <w:rPr>
                <w:rStyle w:val="CharacterStyle5"/>
                <w:rFonts w:ascii="Arial" w:hAnsi="Arial" w:cs="Arial"/>
                <w:color w:val="auto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97-300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spacing w:before="216"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038" w:rsidRPr="00DE7BC3" w:rsidRDefault="00C06B58" w:rsidP="00781821">
            <w:pPr>
              <w:pStyle w:val="Style1"/>
              <w:kinsoku w:val="0"/>
              <w:autoSpaceDE/>
              <w:autoSpaceDN/>
              <w:adjustRightInd/>
              <w:spacing w:before="180"/>
              <w:ind w:left="140"/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Do </w:t>
            </w:r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8"/>
                <w:sz w:val="15"/>
                <w:szCs w:val="15"/>
                <w:lang w:eastAsia="en-US"/>
              </w:rPr>
              <w:t>/ 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</w:rPr>
            </w:pPr>
          </w:p>
        </w:tc>
      </w:tr>
      <w:tr w:rsidR="00B45038" w:rsidRPr="00DE7BC3" w:rsidTr="002C0610">
        <w:trPr>
          <w:trHeight w:hRule="exact" w:val="4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</w:rPr>
              <w:t>BEŁCHATÓW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OKRZEI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49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97-400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1</w:t>
            </w:r>
          </w:p>
        </w:tc>
      </w:tr>
      <w:tr w:rsidR="00B45038" w:rsidRPr="00DE7BC3" w:rsidTr="004F2540">
        <w:trPr>
          <w:trHeight w:hRule="exact" w:val="34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1"/>
              <w:kinsoku w:val="0"/>
              <w:autoSpaceDE/>
              <w:autoSpaceDN/>
              <w:adjustRightInd/>
              <w:ind w:right="143"/>
              <w:jc w:val="right"/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</w:pPr>
            <w:r w:rsidRPr="00DE7BC3">
              <w:rPr>
                <w:rStyle w:val="CharacterStyle2"/>
                <w:rFonts w:ascii="Tahoma" w:hAnsi="Tahoma" w:cs="Tahoma"/>
                <w:sz w:val="15"/>
                <w:szCs w:val="15"/>
                <w:lang w:eastAsia="en-US"/>
              </w:rPr>
              <w:t>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SKIERNIEWICE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spacing w:val="4"/>
              </w:rPr>
            </w:pPr>
            <w:r w:rsidRPr="00DE7BC3">
              <w:rPr>
                <w:rStyle w:val="CharacterStyle5"/>
                <w:color w:val="auto"/>
                <w:spacing w:val="4"/>
              </w:rPr>
              <w:t>JAGIELLOŃSKA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>96-100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  <w:lang w:eastAsia="en-US"/>
              </w:rPr>
            </w:pPr>
            <w:r w:rsidRPr="00DE7BC3">
              <w:rPr>
                <w:rStyle w:val="CharacterStyle5"/>
                <w:color w:val="auto"/>
                <w:lang w:eastAsia="en-US"/>
              </w:rPr>
              <w:t xml:space="preserve">LINIA </w:t>
            </w:r>
            <w:r w:rsidR="004F2540">
              <w:rPr>
                <w:rStyle w:val="CharacterStyle5"/>
                <w:color w:val="auto"/>
                <w:lang w:eastAsia="en-US"/>
              </w:rPr>
              <w:t>PSTN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2C0610" w:rsidP="00781821">
            <w:pPr>
              <w:pStyle w:val="Style1"/>
              <w:kinsoku w:val="0"/>
              <w:autoSpaceDE/>
              <w:autoSpaceDN/>
              <w:adjustRightInd/>
              <w:ind w:left="140"/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</w:pPr>
            <w:r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Min. </w:t>
            </w:r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 xml:space="preserve">DSL 10/1 </w:t>
            </w:r>
            <w:proofErr w:type="spellStart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Mbit</w:t>
            </w:r>
            <w:proofErr w:type="spellEnd"/>
            <w:r w:rsidR="00B45038" w:rsidRPr="00DE7BC3">
              <w:rPr>
                <w:rStyle w:val="CharacterStyle2"/>
                <w:rFonts w:ascii="Tahoma" w:hAnsi="Tahoma" w:cs="Tahoma"/>
                <w:spacing w:val="6"/>
                <w:sz w:val="15"/>
                <w:szCs w:val="15"/>
                <w:lang w:eastAsia="en-US"/>
              </w:rPr>
              <w:t>/s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38" w:rsidRPr="00DE7BC3" w:rsidRDefault="00B45038" w:rsidP="00781821">
            <w:pPr>
              <w:pStyle w:val="Style5"/>
              <w:kinsoku w:val="0"/>
              <w:autoSpaceDE/>
              <w:autoSpaceDN/>
              <w:rPr>
                <w:rStyle w:val="CharacterStyle5"/>
                <w:color w:val="auto"/>
              </w:rPr>
            </w:pPr>
            <w:r w:rsidRPr="00DE7BC3">
              <w:rPr>
                <w:rStyle w:val="CharacterStyle5"/>
                <w:color w:val="auto"/>
              </w:rPr>
              <w:t>1</w:t>
            </w:r>
          </w:p>
        </w:tc>
      </w:tr>
    </w:tbl>
    <w:p w:rsidR="0082398B" w:rsidRDefault="0082398B" w:rsidP="0082398B"/>
    <w:p w:rsidR="00F4764B" w:rsidRDefault="00F4764B" w:rsidP="0082398B">
      <w:r>
        <w:t>13. W kwocie oferty oprócz opłat stałych (abonamenty) należy uwzględnić koszty rozmów</w:t>
      </w:r>
      <w:r w:rsidR="00C06B58">
        <w:t>, podane ilości na okres 24 miesięcy</w:t>
      </w:r>
      <w:r>
        <w:t>:</w:t>
      </w:r>
    </w:p>
    <w:p w:rsidR="00F4764B" w:rsidRDefault="00F4764B" w:rsidP="00F4764B">
      <w:pPr>
        <w:pStyle w:val="Akapitzlist"/>
        <w:numPr>
          <w:ilvl w:val="0"/>
          <w:numId w:val="12"/>
        </w:numPr>
      </w:pPr>
      <w:r>
        <w:t>Lokalne, strefowe do wszystkich sieci stacjonarnych – szacowana ilość jednostek: 130000</w:t>
      </w:r>
    </w:p>
    <w:p w:rsidR="00F4764B" w:rsidRDefault="00F4764B" w:rsidP="00F4764B">
      <w:pPr>
        <w:pStyle w:val="Akapitzlist"/>
        <w:numPr>
          <w:ilvl w:val="0"/>
          <w:numId w:val="12"/>
        </w:numPr>
      </w:pPr>
      <w:r>
        <w:t xml:space="preserve">Krajowe, do sieci telefonii komórkowej - szacowana ilość jednostek: </w:t>
      </w:r>
      <w:r w:rsidR="00C06B58">
        <w:t>7</w:t>
      </w:r>
      <w:r>
        <w:t>0000</w:t>
      </w:r>
    </w:p>
    <w:p w:rsidR="00F4764B" w:rsidRDefault="00F4764B" w:rsidP="00F4764B">
      <w:pPr>
        <w:pStyle w:val="Akapitzlist"/>
        <w:numPr>
          <w:ilvl w:val="0"/>
          <w:numId w:val="12"/>
        </w:numPr>
      </w:pPr>
      <w:r>
        <w:t xml:space="preserve">Międzynarodowe - szacowana ilość jednostek: </w:t>
      </w:r>
      <w:r w:rsidR="00700231">
        <w:t>100</w:t>
      </w:r>
    </w:p>
    <w:p w:rsidR="00035407" w:rsidRPr="00035407" w:rsidRDefault="00035407" w:rsidP="00035407">
      <w:r w:rsidRPr="00035407">
        <w:t>14. Wykonawca w trakcie trwania umowy zobowiązany będzie do dokonania nieodpłatnie przeniesienia podanego łącza internetowego do wskazanej przez Zamawiającego nowej lokalizacji w związku ze zmianą siedziby.</w:t>
      </w:r>
    </w:p>
    <w:p w:rsidR="00F4764B" w:rsidRDefault="00F4764B" w:rsidP="0082398B"/>
    <w:p w:rsidR="00393E26" w:rsidRDefault="00393E26" w:rsidP="00393E26">
      <w:r>
        <w:t>SZCZEGÓŁOWY OPIS PRZEDMIOTU ZAMÓWIENIA CZĘŚĆ 2</w:t>
      </w:r>
    </w:p>
    <w:p w:rsidR="00393E26" w:rsidRDefault="00393E26" w:rsidP="00393E26">
      <w:r>
        <w:t>Zestawienie i utrzymanie łączy internetowych w sieci stacjonarnej dla potrzeb Zamawiającego światłowodem do siedziby zamawiającego w Bratoszewicach, przez okres 24 miesięcy od dnia 2 wrzesień 2019 roku</w:t>
      </w:r>
    </w:p>
    <w:p w:rsidR="00393E26" w:rsidRDefault="00393E26" w:rsidP="00393E26">
      <w:r>
        <w:t>Lokalizacja:</w:t>
      </w:r>
    </w:p>
    <w:p w:rsidR="00393E26" w:rsidRDefault="00393E26" w:rsidP="00393E26">
      <w:r>
        <w:t>Łódzki Ośrodek Doradztwa Rolniczego Z.S. w Bratoszewicach</w:t>
      </w:r>
    </w:p>
    <w:p w:rsidR="00393E26" w:rsidRDefault="00393E26" w:rsidP="00393E26">
      <w:r>
        <w:t>ul. Nowości 32; 95-011 Bratoszewice</w:t>
      </w:r>
    </w:p>
    <w:p w:rsidR="00393E26" w:rsidRDefault="00393E26" w:rsidP="00393E26">
      <w:r>
        <w:t xml:space="preserve">Przepustowość: min. 50 </w:t>
      </w:r>
      <w:proofErr w:type="spellStart"/>
      <w:r>
        <w:t>Mbit</w:t>
      </w:r>
      <w:proofErr w:type="spellEnd"/>
      <w:r>
        <w:t>/s FD</w:t>
      </w:r>
    </w:p>
    <w:p w:rsidR="00393E26" w:rsidRDefault="00393E26" w:rsidP="00393E26">
      <w:r>
        <w:t>Łącze zrealizowane za pośrednictwem linii optycznej</w:t>
      </w:r>
    </w:p>
    <w:p w:rsidR="00393E26" w:rsidRDefault="00393E26" w:rsidP="00393E26">
      <w:r>
        <w:t>Łącza w pełni symetryczne (IN—OUT),</w:t>
      </w:r>
    </w:p>
    <w:p w:rsidR="00393E26" w:rsidRDefault="00393E26" w:rsidP="00393E26">
      <w:r>
        <w:t>Gwarancja przepustowości na poziomie przepustowości portu CIR=EIR Brak limitów transferu danych,</w:t>
      </w:r>
    </w:p>
    <w:p w:rsidR="00393E26" w:rsidRDefault="00393E26" w:rsidP="00393E26">
      <w:r>
        <w:t>Przydział dowolnej klasy publicznych adresów IP wg udokumentowanych potrzeb (początkowo klasa zawierająca min. 16 publicznych adresów IP)</w:t>
      </w:r>
    </w:p>
    <w:p w:rsidR="00393E26" w:rsidRDefault="00393E26" w:rsidP="00393E26">
      <w:r>
        <w:t>Pełną obsługę DNS</w:t>
      </w:r>
    </w:p>
    <w:p w:rsidR="00393E26" w:rsidRDefault="00393E26" w:rsidP="00393E26">
      <w:r>
        <w:t>Zgłaszania awarii w trybie 7/24</w:t>
      </w:r>
    </w:p>
    <w:p w:rsidR="00393E26" w:rsidRDefault="00393E26" w:rsidP="00393E26">
      <w:r>
        <w:lastRenderedPageBreak/>
        <w:t>Światłowód Wykonawcy ma być zakończony w pomieszczeniu wskazanym przez Zamawiającego zależnie od wybranej lokalizacji. Wykonawca dostarczy urządzenia brzegowe umożliwiające podłączenie Ethernet.</w:t>
      </w:r>
    </w:p>
    <w:p w:rsidR="00393E26" w:rsidRDefault="00393E26" w:rsidP="00393E26">
      <w:r>
        <w:t>SLA na poziomie min. 99%.</w:t>
      </w:r>
    </w:p>
    <w:p w:rsidR="001925A5" w:rsidRDefault="00781821" w:rsidP="00393E26">
      <w:r w:rsidRPr="00781821">
        <w:rPr>
          <w:bCs/>
        </w:rPr>
        <w:t>Ochrona przed atakami</w:t>
      </w:r>
      <w:r>
        <w:rPr>
          <w:b/>
          <w:bCs/>
        </w:rPr>
        <w:t xml:space="preserve"> </w:t>
      </w:r>
      <w:proofErr w:type="spellStart"/>
      <w:r w:rsidRPr="00781821">
        <w:rPr>
          <w:b/>
          <w:bCs/>
        </w:rPr>
        <w:t>DDoS</w:t>
      </w:r>
      <w:proofErr w:type="spellEnd"/>
      <w:r w:rsidRPr="00781821">
        <w:rPr>
          <w:b/>
          <w:bCs/>
        </w:rPr>
        <w:t xml:space="preserve"> (ang. Distributed </w:t>
      </w:r>
      <w:proofErr w:type="spellStart"/>
      <w:r w:rsidRPr="00781821">
        <w:rPr>
          <w:b/>
          <w:bCs/>
        </w:rPr>
        <w:t>Denial</w:t>
      </w:r>
      <w:proofErr w:type="spellEnd"/>
      <w:r w:rsidRPr="00781821">
        <w:rPr>
          <w:b/>
          <w:bCs/>
        </w:rPr>
        <w:t xml:space="preserve"> of Service) </w:t>
      </w:r>
      <w:r w:rsidRPr="00781821">
        <w:t>- dosłownie rozproszona odmowa usługi - atak na system komputerowy lub usługę sieciową w celu uniemożliwienia działania poprzez zajęcie wszystkich wolnych zasobów, przeprowadzany równocześnie z wielu komputerów (np. zombie).</w:t>
      </w:r>
      <w:r>
        <w:t xml:space="preserve"> W zakres usługi wchodzi:</w:t>
      </w:r>
    </w:p>
    <w:p w:rsidR="00781821" w:rsidRDefault="00781821" w:rsidP="00781821">
      <w:pPr>
        <w:pStyle w:val="Default"/>
      </w:pPr>
    </w:p>
    <w:p w:rsid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konfiguracja urządzeń wykorzystywanych do ochrony przed atakami </w:t>
      </w:r>
      <w:proofErr w:type="spellStart"/>
      <w:r>
        <w:rPr>
          <w:rFonts w:asciiTheme="minorHAnsi" w:hAnsiTheme="minorHAnsi" w:cstheme="minorHAnsi"/>
          <w:sz w:val="22"/>
          <w:szCs w:val="22"/>
        </w:rPr>
        <w:t>DDoS</w:t>
      </w:r>
      <w:proofErr w:type="spellEnd"/>
    </w:p>
    <w:p w:rsidR="00781821" w:rsidRP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781821">
        <w:rPr>
          <w:rFonts w:asciiTheme="minorHAnsi" w:hAnsiTheme="minorHAnsi" w:cstheme="minorHAnsi"/>
          <w:sz w:val="22"/>
          <w:szCs w:val="22"/>
        </w:rPr>
        <w:t>objęcie ochroną adresów IP rozgłaszanych przez O</w:t>
      </w:r>
      <w:r>
        <w:rPr>
          <w:rFonts w:asciiTheme="minorHAnsi" w:hAnsiTheme="minorHAnsi" w:cstheme="minorHAnsi"/>
          <w:sz w:val="22"/>
          <w:szCs w:val="22"/>
        </w:rPr>
        <w:t>peratora</w:t>
      </w:r>
      <w:r w:rsidRPr="00781821">
        <w:rPr>
          <w:rFonts w:asciiTheme="minorHAnsi" w:hAnsiTheme="minorHAnsi" w:cstheme="minorHAnsi"/>
          <w:sz w:val="22"/>
          <w:szCs w:val="22"/>
        </w:rPr>
        <w:t xml:space="preserve">, wskazanych w </w:t>
      </w:r>
      <w:r>
        <w:rPr>
          <w:rFonts w:asciiTheme="minorHAnsi" w:hAnsiTheme="minorHAnsi" w:cstheme="minorHAnsi"/>
          <w:sz w:val="22"/>
          <w:szCs w:val="22"/>
        </w:rPr>
        <w:t>Zamawiającego</w:t>
      </w:r>
    </w:p>
    <w:p w:rsidR="00781821" w:rsidRP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781821">
        <w:rPr>
          <w:rFonts w:asciiTheme="minorHAnsi" w:hAnsiTheme="minorHAnsi" w:cstheme="minorHAnsi"/>
          <w:sz w:val="22"/>
          <w:szCs w:val="22"/>
        </w:rPr>
        <w:t xml:space="preserve">ciągłe automatyczne monitorowanie ruchu oraz automatyczna analiza ruchu z celem wykrycia anomalii </w:t>
      </w:r>
    </w:p>
    <w:p w:rsid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 w:rsidRPr="00781821">
        <w:rPr>
          <w:rFonts w:asciiTheme="minorHAnsi" w:hAnsiTheme="minorHAnsi" w:cstheme="minorHAnsi"/>
          <w:sz w:val="22"/>
          <w:szCs w:val="22"/>
        </w:rPr>
        <w:t xml:space="preserve">automatyczne uruchomienie mechanizmów </w:t>
      </w:r>
      <w:proofErr w:type="spellStart"/>
      <w:r w:rsidRPr="00781821">
        <w:rPr>
          <w:rFonts w:asciiTheme="minorHAnsi" w:hAnsiTheme="minorHAnsi" w:cstheme="minorHAnsi"/>
          <w:sz w:val="22"/>
          <w:szCs w:val="22"/>
        </w:rPr>
        <w:t>mitygacji</w:t>
      </w:r>
      <w:proofErr w:type="spellEnd"/>
      <w:r w:rsidRPr="00781821">
        <w:rPr>
          <w:rFonts w:asciiTheme="minorHAnsi" w:hAnsiTheme="minorHAnsi" w:cstheme="minorHAnsi"/>
          <w:sz w:val="22"/>
          <w:szCs w:val="22"/>
        </w:rPr>
        <w:t xml:space="preserve"> ataku według zdefiniowanych parametrów </w:t>
      </w:r>
    </w:p>
    <w:p w:rsid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dostęp do portalu prezentującego statystyki</w:t>
      </w:r>
    </w:p>
    <w:p w:rsidR="00781821" w:rsidRPr="00781821" w:rsidRDefault="00781821" w:rsidP="00781821">
      <w:pPr>
        <w:pStyle w:val="Default"/>
        <w:numPr>
          <w:ilvl w:val="0"/>
          <w:numId w:val="13"/>
        </w:numPr>
        <w:spacing w:after="1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notyfikacja o ataku drogą elektroniczną</w:t>
      </w:r>
    </w:p>
    <w:p w:rsidR="00781821" w:rsidRDefault="00781821" w:rsidP="00781821">
      <w:pPr>
        <w:pStyle w:val="Default"/>
        <w:spacing w:after="169"/>
        <w:rPr>
          <w:sz w:val="36"/>
          <w:szCs w:val="36"/>
        </w:rPr>
      </w:pPr>
      <w:r>
        <w:rPr>
          <w:sz w:val="36"/>
          <w:szCs w:val="36"/>
        </w:rPr>
        <w:t></w:t>
      </w:r>
    </w:p>
    <w:p w:rsidR="00781821" w:rsidRDefault="00781821" w:rsidP="00781821">
      <w:pPr>
        <w:pStyle w:val="Default"/>
        <w:rPr>
          <w:sz w:val="36"/>
          <w:szCs w:val="36"/>
        </w:rPr>
      </w:pPr>
    </w:p>
    <w:p w:rsidR="00781821" w:rsidRDefault="00781821" w:rsidP="00393E26"/>
    <w:p w:rsidR="00781821" w:rsidRPr="00781821" w:rsidRDefault="00781821" w:rsidP="00393E26"/>
    <w:p w:rsidR="00657B59" w:rsidRDefault="00657B59"/>
    <w:sectPr w:rsidR="0065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56D0"/>
    <w:multiLevelType w:val="singleLevel"/>
    <w:tmpl w:val="52790AA7"/>
    <w:lvl w:ilvl="0">
      <w:start w:val="1"/>
      <w:numFmt w:val="lowerLetter"/>
      <w:lvlText w:val="%1)"/>
      <w:lvlJc w:val="left"/>
      <w:pPr>
        <w:tabs>
          <w:tab w:val="num" w:pos="360"/>
        </w:tabs>
        <w:ind w:left="1080"/>
      </w:pPr>
      <w:rPr>
        <w:snapToGrid/>
        <w:spacing w:val="9"/>
        <w:sz w:val="23"/>
        <w:szCs w:val="23"/>
      </w:rPr>
    </w:lvl>
  </w:abstractNum>
  <w:abstractNum w:abstractNumId="1" w15:restartNumberingAfterBreak="0">
    <w:nsid w:val="01A006FD"/>
    <w:multiLevelType w:val="singleLevel"/>
    <w:tmpl w:val="2E7472DE"/>
    <w:lvl w:ilvl="0">
      <w:start w:val="6"/>
      <w:numFmt w:val="decimal"/>
      <w:lvlText w:val="%1."/>
      <w:lvlJc w:val="left"/>
      <w:pPr>
        <w:tabs>
          <w:tab w:val="num" w:pos="288"/>
        </w:tabs>
        <w:ind w:left="936" w:hanging="288"/>
      </w:pPr>
      <w:rPr>
        <w:snapToGrid/>
        <w:spacing w:val="14"/>
        <w:sz w:val="23"/>
        <w:szCs w:val="23"/>
      </w:rPr>
    </w:lvl>
  </w:abstractNum>
  <w:abstractNum w:abstractNumId="2" w15:restartNumberingAfterBreak="0">
    <w:nsid w:val="023B1222"/>
    <w:multiLevelType w:val="singleLevel"/>
    <w:tmpl w:val="4AC66B3D"/>
    <w:lvl w:ilvl="0">
      <w:start w:val="9"/>
      <w:numFmt w:val="decimal"/>
      <w:lvlText w:val="%1."/>
      <w:lvlJc w:val="left"/>
      <w:pPr>
        <w:tabs>
          <w:tab w:val="num" w:pos="432"/>
        </w:tabs>
        <w:ind w:left="576" w:hanging="432"/>
      </w:pPr>
      <w:rPr>
        <w:snapToGrid/>
        <w:color w:val="535051"/>
        <w:spacing w:val="3"/>
        <w:sz w:val="23"/>
        <w:szCs w:val="23"/>
      </w:rPr>
    </w:lvl>
  </w:abstractNum>
  <w:abstractNum w:abstractNumId="3" w15:restartNumberingAfterBreak="0">
    <w:nsid w:val="02B512EF"/>
    <w:multiLevelType w:val="singleLevel"/>
    <w:tmpl w:val="2E6EDD23"/>
    <w:lvl w:ilvl="0">
      <w:start w:val="1"/>
      <w:numFmt w:val="lowerLetter"/>
      <w:lvlText w:val="%1)"/>
      <w:lvlJc w:val="left"/>
      <w:pPr>
        <w:tabs>
          <w:tab w:val="num" w:pos="360"/>
        </w:tabs>
        <w:ind w:left="864" w:hanging="360"/>
      </w:pPr>
      <w:rPr>
        <w:snapToGrid/>
        <w:color w:val="4C494A"/>
        <w:spacing w:val="18"/>
        <w:sz w:val="23"/>
        <w:szCs w:val="23"/>
      </w:rPr>
    </w:lvl>
  </w:abstractNum>
  <w:abstractNum w:abstractNumId="4" w15:restartNumberingAfterBreak="0">
    <w:nsid w:val="042B2207"/>
    <w:multiLevelType w:val="singleLevel"/>
    <w:tmpl w:val="7E1A17C8"/>
    <w:lvl w:ilvl="0">
      <w:start w:val="7"/>
      <w:numFmt w:val="lowerLetter"/>
      <w:lvlText w:val="%1)"/>
      <w:lvlJc w:val="left"/>
      <w:pPr>
        <w:tabs>
          <w:tab w:val="num" w:pos="288"/>
        </w:tabs>
        <w:ind w:left="360"/>
      </w:pPr>
      <w:rPr>
        <w:snapToGrid/>
        <w:spacing w:val="-10"/>
        <w:sz w:val="24"/>
        <w:szCs w:val="24"/>
      </w:rPr>
    </w:lvl>
  </w:abstractNum>
  <w:abstractNum w:abstractNumId="5" w15:restartNumberingAfterBreak="0">
    <w:nsid w:val="049CA22F"/>
    <w:multiLevelType w:val="singleLevel"/>
    <w:tmpl w:val="2B03C418"/>
    <w:lvl w:ilvl="0">
      <w:start w:val="1"/>
      <w:numFmt w:val="lowerLetter"/>
      <w:lvlText w:val="%1)"/>
      <w:lvlJc w:val="left"/>
      <w:pPr>
        <w:tabs>
          <w:tab w:val="num" w:pos="432"/>
        </w:tabs>
        <w:ind w:left="1008" w:hanging="432"/>
      </w:pPr>
      <w:rPr>
        <w:snapToGrid/>
        <w:color w:val="312D2E"/>
        <w:spacing w:val="5"/>
        <w:sz w:val="23"/>
        <w:szCs w:val="23"/>
      </w:rPr>
    </w:lvl>
  </w:abstractNum>
  <w:abstractNum w:abstractNumId="6" w15:restartNumberingAfterBreak="0">
    <w:nsid w:val="0656471E"/>
    <w:multiLevelType w:val="singleLevel"/>
    <w:tmpl w:val="1963AC11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snapToGrid/>
        <w:sz w:val="24"/>
        <w:szCs w:val="24"/>
      </w:rPr>
    </w:lvl>
  </w:abstractNum>
  <w:abstractNum w:abstractNumId="7" w15:restartNumberingAfterBreak="0">
    <w:nsid w:val="07D12764"/>
    <w:multiLevelType w:val="singleLevel"/>
    <w:tmpl w:val="0460D6CA"/>
    <w:lvl w:ilvl="0">
      <w:start w:val="1"/>
      <w:numFmt w:val="lowerLetter"/>
      <w:lvlText w:val="%1)"/>
      <w:lvlJc w:val="left"/>
      <w:pPr>
        <w:tabs>
          <w:tab w:val="num" w:pos="360"/>
        </w:tabs>
        <w:ind w:left="288" w:firstLine="72"/>
      </w:pPr>
      <w:rPr>
        <w:snapToGrid/>
        <w:spacing w:val="-10"/>
        <w:sz w:val="24"/>
        <w:szCs w:val="24"/>
      </w:rPr>
    </w:lvl>
  </w:abstractNum>
  <w:abstractNum w:abstractNumId="8" w15:restartNumberingAfterBreak="0">
    <w:nsid w:val="66DA7365"/>
    <w:multiLevelType w:val="hybridMultilevel"/>
    <w:tmpl w:val="50E62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A305A"/>
    <w:multiLevelType w:val="hybridMultilevel"/>
    <w:tmpl w:val="FECA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1080"/>
        </w:pPr>
        <w:rPr>
          <w:snapToGrid/>
          <w:spacing w:val="11"/>
          <w:sz w:val="23"/>
          <w:szCs w:val="23"/>
        </w:rPr>
      </w:lvl>
    </w:lvlOverride>
  </w:num>
  <w:num w:numId="7">
    <w:abstractNumId w:val="3"/>
  </w:num>
  <w:num w:numId="8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864" w:hanging="360"/>
        </w:pPr>
        <w:rPr>
          <w:snapToGrid/>
          <w:color w:val="4C494A"/>
          <w:spacing w:val="-5"/>
          <w:sz w:val="24"/>
          <w:szCs w:val="24"/>
        </w:rPr>
      </w:lvl>
    </w:lvlOverride>
  </w:num>
  <w:num w:numId="9">
    <w:abstractNumId w:val="5"/>
  </w:num>
  <w:num w:numId="10">
    <w:abstractNumId w:val="2"/>
  </w:num>
  <w:num w:numId="11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576" w:hanging="432"/>
        </w:pPr>
        <w:rPr>
          <w:snapToGrid/>
          <w:color w:val="535051"/>
          <w:spacing w:val="11"/>
          <w:sz w:val="23"/>
          <w:szCs w:val="23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8B"/>
    <w:rsid w:val="00035407"/>
    <w:rsid w:val="00191EBA"/>
    <w:rsid w:val="001925A5"/>
    <w:rsid w:val="001D597B"/>
    <w:rsid w:val="001F164B"/>
    <w:rsid w:val="00276818"/>
    <w:rsid w:val="002C0610"/>
    <w:rsid w:val="00393E26"/>
    <w:rsid w:val="003C7C27"/>
    <w:rsid w:val="004E6C5D"/>
    <w:rsid w:val="004F2540"/>
    <w:rsid w:val="00657B59"/>
    <w:rsid w:val="00700231"/>
    <w:rsid w:val="00781821"/>
    <w:rsid w:val="00813A82"/>
    <w:rsid w:val="0082398B"/>
    <w:rsid w:val="009E38E6"/>
    <w:rsid w:val="00AA2DFD"/>
    <w:rsid w:val="00AA7E75"/>
    <w:rsid w:val="00B45038"/>
    <w:rsid w:val="00C06B58"/>
    <w:rsid w:val="00DE7936"/>
    <w:rsid w:val="00EC0A58"/>
    <w:rsid w:val="00EC2111"/>
    <w:rsid w:val="00ED03D6"/>
    <w:rsid w:val="00F20053"/>
    <w:rsid w:val="00F4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8289"/>
  <w15:chartTrackingRefBased/>
  <w15:docId w15:val="{3E12DECE-784C-4840-A350-31A9C67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9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98B"/>
    <w:rPr>
      <w:color w:val="605E5C"/>
      <w:shd w:val="clear" w:color="auto" w:fill="E1DFDD"/>
    </w:rPr>
  </w:style>
  <w:style w:type="paragraph" w:customStyle="1" w:styleId="Style1">
    <w:name w:val="Style 1"/>
    <w:basedOn w:val="Normalny"/>
    <w:uiPriority w:val="99"/>
    <w:rsid w:val="00823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5">
    <w:name w:val="Style 5"/>
    <w:basedOn w:val="Normalny"/>
    <w:uiPriority w:val="99"/>
    <w:rsid w:val="0082398B"/>
    <w:pPr>
      <w:widowControl w:val="0"/>
      <w:autoSpaceDE w:val="0"/>
      <w:autoSpaceDN w:val="0"/>
      <w:spacing w:after="0" w:line="240" w:lineRule="auto"/>
      <w:jc w:val="center"/>
    </w:pPr>
    <w:rPr>
      <w:rFonts w:ascii="Tahoma" w:eastAsiaTheme="minorEastAsia" w:hAnsi="Tahoma" w:cs="Tahoma"/>
      <w:color w:val="535051"/>
      <w:sz w:val="15"/>
      <w:szCs w:val="15"/>
      <w:lang w:eastAsia="pl-PL"/>
    </w:rPr>
  </w:style>
  <w:style w:type="character" w:customStyle="1" w:styleId="CharacterStyle2">
    <w:name w:val="Character Style 2"/>
    <w:uiPriority w:val="99"/>
    <w:rsid w:val="0082398B"/>
    <w:rPr>
      <w:sz w:val="20"/>
      <w:szCs w:val="20"/>
    </w:rPr>
  </w:style>
  <w:style w:type="character" w:customStyle="1" w:styleId="CharacterStyle5">
    <w:name w:val="Character Style 5"/>
    <w:uiPriority w:val="99"/>
    <w:rsid w:val="0082398B"/>
    <w:rPr>
      <w:rFonts w:ascii="Tahoma" w:hAnsi="Tahoma" w:cs="Tahoma"/>
      <w:color w:val="535051"/>
      <w:sz w:val="15"/>
      <w:szCs w:val="15"/>
    </w:rPr>
  </w:style>
  <w:style w:type="paragraph" w:styleId="Akapitzlist">
    <w:name w:val="List Paragraph"/>
    <w:basedOn w:val="Normalny"/>
    <w:uiPriority w:val="34"/>
    <w:qFormat/>
    <w:rsid w:val="00F4764B"/>
    <w:pPr>
      <w:ind w:left="720"/>
      <w:contextualSpacing/>
    </w:pPr>
  </w:style>
  <w:style w:type="paragraph" w:customStyle="1" w:styleId="Default">
    <w:name w:val="Default"/>
    <w:rsid w:val="0078182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Beczkowski</dc:creator>
  <cp:keywords/>
  <dc:description/>
  <cp:lastModifiedBy>Wojciech Beczkowski</cp:lastModifiedBy>
  <cp:revision>16</cp:revision>
  <dcterms:created xsi:type="dcterms:W3CDTF">2019-02-13T12:51:00Z</dcterms:created>
  <dcterms:modified xsi:type="dcterms:W3CDTF">2019-03-20T13:42:00Z</dcterms:modified>
</cp:coreProperties>
</file>