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644A" w:rsidRPr="001A5CDF" w:rsidRDefault="00631A83">
      <w:pPr>
        <w:rPr>
          <w:b/>
          <w:i/>
          <w:sz w:val="32"/>
          <w:szCs w:val="32"/>
        </w:rPr>
      </w:pPr>
      <w:r w:rsidRPr="001A5CDF">
        <w:rPr>
          <w:b/>
          <w:i/>
          <w:sz w:val="32"/>
          <w:szCs w:val="32"/>
        </w:rPr>
        <w:t>Niska emisja – wielka sprawa.</w:t>
      </w:r>
    </w:p>
    <w:p w:rsidR="00521DE5" w:rsidRPr="001A5CDF" w:rsidRDefault="00521DE5" w:rsidP="001A5CDF">
      <w:pPr>
        <w:jc w:val="right"/>
        <w:rPr>
          <w:b/>
          <w:sz w:val="28"/>
          <w:szCs w:val="28"/>
        </w:rPr>
      </w:pPr>
      <w:r>
        <w:rPr>
          <w:noProof/>
          <w:lang w:eastAsia="pl-PL"/>
        </w:rPr>
        <w:drawing>
          <wp:anchor distT="0" distB="0" distL="114300" distR="114300" simplePos="0" relativeHeight="251658240" behindDoc="0" locked="0" layoutInCell="1" allowOverlap="1" wp14:anchorId="2C9C4A25">
            <wp:simplePos x="0" y="0"/>
            <wp:positionH relativeFrom="margin">
              <wp:posOffset>273685</wp:posOffset>
            </wp:positionH>
            <wp:positionV relativeFrom="paragraph">
              <wp:posOffset>48895</wp:posOffset>
            </wp:positionV>
            <wp:extent cx="1546860" cy="1330325"/>
            <wp:effectExtent l="0" t="0" r="0" b="3175"/>
            <wp:wrapSquare wrapText="bothSides"/>
            <wp:docPr id="2" name="Obraz 2" descr="Znalezione obrazy dla zapytania selektywna zbiórka odpad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lezione obrazy dla zapytania selektywna zbiórka odpadów"/>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46860" cy="13303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b/>
          <w:sz w:val="28"/>
          <w:szCs w:val="28"/>
        </w:rPr>
        <w:tab/>
        <w:t xml:space="preserve">                               </w:t>
      </w:r>
      <w:r w:rsidRPr="001A5CDF">
        <w:rPr>
          <w:b/>
          <w:sz w:val="28"/>
          <w:szCs w:val="28"/>
        </w:rPr>
        <w:t>Sposoby na ograniczenie niskiej emisji istnieją już od dawna. Wystarczy przekonać społeczeństwo, że wszystko leży w ich rękach.</w:t>
      </w:r>
    </w:p>
    <w:p w:rsidR="00E12C1A" w:rsidRPr="00BF4822" w:rsidRDefault="00E12C1A" w:rsidP="00521DE5">
      <w:pPr>
        <w:tabs>
          <w:tab w:val="left" w:pos="3156"/>
        </w:tabs>
        <w:rPr>
          <w:b/>
          <w:sz w:val="28"/>
          <w:szCs w:val="28"/>
        </w:rPr>
      </w:pPr>
    </w:p>
    <w:p w:rsidR="00631A83" w:rsidRPr="00E12C1A" w:rsidRDefault="00521DE5" w:rsidP="00521DE5">
      <w:pPr>
        <w:rPr>
          <w:b/>
        </w:rPr>
      </w:pPr>
      <w:r w:rsidRPr="00E12C1A">
        <w:rPr>
          <w:b/>
        </w:rPr>
        <w:t xml:space="preserve"> </w:t>
      </w:r>
    </w:p>
    <w:p w:rsidR="00631A83" w:rsidRDefault="00631A83" w:rsidP="00F00419">
      <w:pPr>
        <w:keepLines/>
        <w:spacing w:after="0" w:line="240" w:lineRule="auto"/>
        <w:contextualSpacing/>
        <w:jc w:val="both"/>
      </w:pPr>
      <w:r>
        <w:t>Niska emisja to emisja szkodliwych gazów i pył</w:t>
      </w:r>
      <w:r w:rsidR="00E420D2">
        <w:t>ów emitowanych z kominów</w:t>
      </w:r>
      <w:r>
        <w:t xml:space="preserve"> </w:t>
      </w:r>
      <w:r w:rsidR="00E420D2">
        <w:t xml:space="preserve">położonych do 40 metrów nad ziemią. Głównym źródłem emitorów są jednak kominy </w:t>
      </w:r>
      <w:r w:rsidR="008A75FA">
        <w:t xml:space="preserve">i inne źródła emisji znajdujące się </w:t>
      </w:r>
      <w:r w:rsidR="00E420D2">
        <w:t>na wysokości  do 10 metrów nad ziemią.</w:t>
      </w:r>
      <w:r w:rsidR="008A75FA">
        <w:t xml:space="preserve"> Emitowane zanieczyszczenia na tej wysokości wyrządzają ogromne szkody (największe w miejscach zwartej zabudowy). Zanieczyszczenia mogą mieć postać gazową lub przedostawać się do powietrza w formie pyłu. Największa kumulacja zanieczyszczeń znajduje się w najbliższym otoczeniu emitora (źródła ciepła). Najbardziej szkodzącymi substancjami niskiej emisji są</w:t>
      </w:r>
      <w:r w:rsidR="003103EB">
        <w:t xml:space="preserve"> pyły zawieszone (PM2,5, PM10) oraz rakotwórczy </w:t>
      </w:r>
      <w:proofErr w:type="spellStart"/>
      <w:r w:rsidR="003103EB">
        <w:t>benzo</w:t>
      </w:r>
      <w:proofErr w:type="spellEnd"/>
      <w:r w:rsidR="003103EB">
        <w:t>(a)</w:t>
      </w:r>
      <w:proofErr w:type="spellStart"/>
      <w:r w:rsidR="003103EB">
        <w:t>piren</w:t>
      </w:r>
      <w:proofErr w:type="spellEnd"/>
      <w:r w:rsidR="003103EB">
        <w:t>. Zanieczyszczenia te w sposób bezpośredni niekorzystnie wpływają na człowieka i otaczające środowisko.</w:t>
      </w:r>
    </w:p>
    <w:p w:rsidR="00E420D2" w:rsidRDefault="00E420D2" w:rsidP="00F00419">
      <w:pPr>
        <w:spacing w:after="0"/>
        <w:jc w:val="both"/>
      </w:pPr>
    </w:p>
    <w:p w:rsidR="00E420D2" w:rsidRDefault="00E420D2" w:rsidP="00E420D2">
      <w:pPr>
        <w:jc w:val="center"/>
        <w:rPr>
          <w:b/>
        </w:rPr>
      </w:pPr>
      <w:r w:rsidRPr="00AD458E">
        <w:rPr>
          <w:b/>
        </w:rPr>
        <w:t>Jaka działalność powoduje największą emisję pyłów do atmosfery?</w:t>
      </w:r>
    </w:p>
    <w:p w:rsidR="00AD458E" w:rsidRPr="00AD458E" w:rsidRDefault="00AD458E" w:rsidP="00E420D2">
      <w:pPr>
        <w:jc w:val="center"/>
        <w:rPr>
          <w:b/>
        </w:rPr>
      </w:pPr>
    </w:p>
    <w:p w:rsidR="00E420D2" w:rsidRDefault="00E420D2" w:rsidP="001A5CDF">
      <w:pPr>
        <w:jc w:val="center"/>
      </w:pPr>
      <w:r w:rsidRPr="00E420D2">
        <w:rPr>
          <w:noProof/>
        </w:rPr>
        <w:drawing>
          <wp:anchor distT="0" distB="0" distL="114300" distR="114300" simplePos="0" relativeHeight="251660288" behindDoc="0" locked="0" layoutInCell="1" allowOverlap="1" wp14:anchorId="2CA8C454">
            <wp:simplePos x="0" y="0"/>
            <wp:positionH relativeFrom="column">
              <wp:posOffset>631825</wp:posOffset>
            </wp:positionH>
            <wp:positionV relativeFrom="paragraph">
              <wp:posOffset>635</wp:posOffset>
            </wp:positionV>
            <wp:extent cx="4488180" cy="2606040"/>
            <wp:effectExtent l="0" t="0" r="7620" b="3810"/>
            <wp:wrapTopAndBottom/>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p w:rsidR="003103EB" w:rsidRDefault="003103EB"/>
    <w:p w:rsidR="00F31209" w:rsidRDefault="003103EB" w:rsidP="001A5CDF">
      <w:pPr>
        <w:jc w:val="both"/>
      </w:pPr>
      <w:r>
        <w:t xml:space="preserve">Głównym źródłem niskiej emisji są przede wszystkim indywidualne gospodarstwa domowe, następnie </w:t>
      </w:r>
      <w:r w:rsidR="00BF4822">
        <w:t>transport samochodowy</w:t>
      </w:r>
      <w:r>
        <w:t xml:space="preserve"> oraz  małe i średnie zakłady przemysłowe.</w:t>
      </w:r>
      <w:r w:rsidR="00DF0E93">
        <w:t xml:space="preserve"> </w:t>
      </w:r>
      <w:r w:rsidR="0031786A">
        <w:t>Niska emisja pochodzi głównie z kotłów i pieców na paliwa stałe. W domowych piecach palony jest węgiel niskiej jakości, jego odpady (muł, miał), a także wszelakie śmieci i tworzywa sztuczne.</w:t>
      </w:r>
      <w:r w:rsidR="00BF4822">
        <w:t xml:space="preserve"> Nieodpowiednio dobrany opał jest źródłem siarki, chloru oraz dużej ilości popiołu.</w:t>
      </w:r>
      <w:r w:rsidR="00F3142C">
        <w:t xml:space="preserve"> Również sprawność pieców używanych przez polskich konsumentów budzi wiele zastrzeżeń. </w:t>
      </w:r>
    </w:p>
    <w:p w:rsidR="003103EB" w:rsidRDefault="007906C6" w:rsidP="001A5CDF">
      <w:pPr>
        <w:jc w:val="both"/>
      </w:pPr>
      <w:r>
        <w:t>Niestety</w:t>
      </w:r>
      <w:r w:rsidR="00F31209">
        <w:t xml:space="preserve">, świadomość społeczeństwa, pomimo tendencji do poprawy, w temacie niskiej emisji nadal też jest NISKA. Wszelkie próby mające na celu zmniejszenie niskiej emisji przez zakaz palenia śmieci </w:t>
      </w:r>
      <w:r w:rsidR="00F31209">
        <w:lastRenderedPageBreak/>
        <w:t>i</w:t>
      </w:r>
      <w:r w:rsidR="001A5CDF">
        <w:t> </w:t>
      </w:r>
      <w:r w:rsidR="00F31209">
        <w:t>wysokoemisyjnych paliw w instalacjach domowych, napotyka opór, a głównym argumentem protestujących jest ubóstwo i „oszczędność” użytkowników.</w:t>
      </w:r>
    </w:p>
    <w:p w:rsidR="00485B45" w:rsidRDefault="00B25875" w:rsidP="001A5CDF">
      <w:pPr>
        <w:jc w:val="both"/>
      </w:pPr>
      <w:r>
        <w:t>Czynnikiem sprzyjającym niskiej emisji jest mała prędkość wiatru oraz  niekorzystne ukształtowanie terenu (niecki</w:t>
      </w:r>
      <w:r w:rsidR="00B95519">
        <w:t>, doliny</w:t>
      </w:r>
      <w:r>
        <w:t xml:space="preserve">). </w:t>
      </w:r>
      <w:r w:rsidR="00E12C1A">
        <w:t>Eksperci zgodnie twierdzą, że duża koncentracja zanieczyszczeń i brak ruchu powietrza są główną przyczyną niskiej</w:t>
      </w:r>
      <w:r>
        <w:t xml:space="preserve"> Zjawisko przygruntowej inwersji temperaturowej ma również znaczący  wpływ na kumulację gazów, będącymi produktami spalania.</w:t>
      </w:r>
      <w:r w:rsidR="00245603">
        <w:t xml:space="preserve"> W normalnych warunkach powietrze bliżej powierzchni ziemi jest cieplejsze niż to znajdujące się wyżej</w:t>
      </w:r>
      <w:r w:rsidR="00B404AB">
        <w:t>. Temperatura powietrza zatem maleje wraz ze wzrostem wysokości.</w:t>
      </w:r>
      <w:r w:rsidR="0089008B">
        <w:t xml:space="preserve"> Jest to spowodowane tym, że powietrze ogrzewa się od cieplejszej powierzchni ziemi, a następnie unosi się do góry w wyniku zjawiska konwekcji. Unoszące się powietrze z kolei </w:t>
      </w:r>
      <w:r w:rsidR="005E0A1A">
        <w:t>ochładza się wskutek spadku ciśnienia. Zmniejsza to negatywny wpływ zanieczyszczeń powietrza emitowanych z kominów w wyniku konwekcyjnego unoszenia się spalin i ich rozrzedzania na skutek dużej wysokości.</w:t>
      </w:r>
    </w:p>
    <w:p w:rsidR="001D3453" w:rsidRDefault="001D3453" w:rsidP="001A5CDF">
      <w:pPr>
        <w:jc w:val="both"/>
      </w:pPr>
      <w:r>
        <w:t>Czasami w wyniku zjawisk pogodowych, zachodzących szczególnie w okresie jesiennym i zimowym, dochodzi do odwrócenia rozkładu temperatury. To zjawisko nasi nazwę przygruntowej inwersji temperaturowej. Jej występowanie sprawia, że chłodniejsze powietrze zostaje zatrzymane  pod warstwą cieplejszego powietrza</w:t>
      </w:r>
      <w:r w:rsidR="009C24DC">
        <w:t xml:space="preserve">, a zanieczyszczenia z kominów, zamiast przepływać do góry i tam się rozpraszać, kumulują się bezpośrednio tuż nad gruntem na wysokości kilkudziesięciu metrów. </w:t>
      </w:r>
      <w:r w:rsidR="00FF5468">
        <w:t xml:space="preserve"> Zjawisko inwersji temperaturowej szczególnie często występuje w dolinach, podczas wyżu klimatycznego. W</w:t>
      </w:r>
      <w:r w:rsidR="001A5CDF">
        <w:t> </w:t>
      </w:r>
      <w:r w:rsidR="00FF5468">
        <w:t>trakcie jego trwania skutki niskiej emisji nasilają się, gdyż wzrasta koncentracja zanieczyszczeń w</w:t>
      </w:r>
      <w:r w:rsidR="001A5CDF">
        <w:t> </w:t>
      </w:r>
      <w:r w:rsidR="00FF5468">
        <w:t>powietrzu, co prowadzi do powstania tzw. smogu.</w:t>
      </w:r>
      <w:r w:rsidR="00581B35">
        <w:t xml:space="preserve"> </w:t>
      </w:r>
    </w:p>
    <w:p w:rsidR="00C46579" w:rsidRDefault="00C46579" w:rsidP="001A5CDF">
      <w:pPr>
        <w:jc w:val="both"/>
        <w:rPr>
          <w:b/>
        </w:rPr>
      </w:pPr>
      <w:r w:rsidRPr="000C05A0">
        <w:rPr>
          <w:b/>
        </w:rPr>
        <w:t xml:space="preserve">Czyste powietrze </w:t>
      </w:r>
      <w:r w:rsidR="000C05A0">
        <w:rPr>
          <w:b/>
        </w:rPr>
        <w:t>to</w:t>
      </w:r>
      <w:r w:rsidRPr="000C05A0">
        <w:rPr>
          <w:b/>
        </w:rPr>
        <w:t xml:space="preserve"> nasze zdrowie</w:t>
      </w:r>
    </w:p>
    <w:p w:rsidR="000C05A0" w:rsidRDefault="000C05A0" w:rsidP="001A5CDF">
      <w:pPr>
        <w:jc w:val="both"/>
        <w:rPr>
          <w:rFonts w:cstheme="minorHAnsi"/>
        </w:rPr>
      </w:pPr>
      <w:r w:rsidRPr="000C05A0">
        <w:t xml:space="preserve">Światowa Organizacja Zdrowia </w:t>
      </w:r>
      <w:r>
        <w:t xml:space="preserve">informuje, że poziom pyłów z punktu widzenia zdrowia człowieka nie może przekraczać 20 </w:t>
      </w:r>
      <w:r>
        <w:rPr>
          <w:rFonts w:cstheme="minorHAnsi"/>
        </w:rPr>
        <w:t>µg/m³.</w:t>
      </w:r>
    </w:p>
    <w:p w:rsidR="000C05A0" w:rsidRDefault="000C05A0" w:rsidP="001A5CDF">
      <w:pPr>
        <w:jc w:val="both"/>
        <w:rPr>
          <w:rFonts w:cstheme="minorHAnsi"/>
          <w:b/>
          <w:i/>
        </w:rPr>
      </w:pPr>
      <w:r w:rsidRPr="000C05A0">
        <w:rPr>
          <w:rFonts w:cstheme="minorHAnsi"/>
          <w:b/>
          <w:i/>
        </w:rPr>
        <w:t xml:space="preserve"> WHO uznaje, że obecność pyłów PM 10 i PM 2,5 skraca długość  życia Polaka prawie o 9 miesięcy!</w:t>
      </w:r>
    </w:p>
    <w:p w:rsidR="00521DE5" w:rsidRPr="00521DE5" w:rsidRDefault="000945EE" w:rsidP="001A5CDF">
      <w:pPr>
        <w:jc w:val="both"/>
      </w:pPr>
      <w:r w:rsidRPr="000945EE">
        <w:t xml:space="preserve">Długotrwałe przebywanie w obecności zanieczyszczeń </w:t>
      </w:r>
      <w:r>
        <w:t>, przyczynia się do powstania wielu chorób układu oddechowego (takich jak nowotwory płuc, astma, zapalenie błon śluzowych nosa, gardła, oskrzeli), ale także ma negatywny wpływ na układ krążenia, układ rozrodczy oraz nerwowy. Europejska Agencja Środowisk</w:t>
      </w:r>
      <w:r w:rsidR="00942274">
        <w:t xml:space="preserve">a (EEA) informuje, że zanieczyszczenie powietrza w Europie jest najistotniejszym czynnikiem środowiskowym zagrażającym zdrowiu i życiu Europejczyków. </w:t>
      </w:r>
      <w:r w:rsidR="007A2595">
        <w:t xml:space="preserve">Wpływ pyłów zawieszonych na ludzki organizm stanowi konsekwencję oddziaływania jonów metali przejściowych, znajdujących się na powierzchni cząstek. Skutkiem czego w układzie oddechowym pojawia się miejscowo nasilony stres oksydacyjny, skutkujący </w:t>
      </w:r>
      <w:r w:rsidR="00386427">
        <w:t>rozwojem stanu zapalnego, zależnego od miejsca oddziaływania pyłu. Cząsteczki mogą  oddziaływać na górne jak i dolne drogi oddechowe aż po pęcherzyki płucne.</w:t>
      </w:r>
      <w:r w:rsidR="00112197">
        <w:t xml:space="preserve"> Ciekawe są również wyniki badań </w:t>
      </w:r>
      <w:r w:rsidR="002A1DDD">
        <w:t xml:space="preserve">przeprowadzonych na warszawskich i łódzkich pacjentach, hospitalizowanych ze względu na dolegliwości ze strony układu oddechowego. Pacjenci wypełnili ankiety dotyczące korzystania w gospodarstwach domowych z paliw stałych w celach </w:t>
      </w:r>
      <w:r w:rsidR="00890707">
        <w:t xml:space="preserve">grzewczych. </w:t>
      </w:r>
      <w:r w:rsidR="00365F2D">
        <w:t>Wyniki ankiety ujawniły</w:t>
      </w:r>
      <w:r w:rsidR="00203223">
        <w:t xml:space="preserve"> związek pomiędzy wieloletnim korzystaniem z węgla, a nasileniem występowania nowotworów w górnym odcinku układu oddechowego. Międzynarodowa Agencja Badań Nad Nowotworami przedstawiła podobne wyniki, wnioskując, że pochodzące ze spalanie węgla zanieczyszczenia to jeden z czynników rakotwórczych.</w:t>
      </w:r>
    </w:p>
    <w:p w:rsidR="001A5CDF" w:rsidRDefault="001A5CDF" w:rsidP="00521DE5">
      <w:pPr>
        <w:rPr>
          <w:b/>
        </w:rPr>
      </w:pPr>
    </w:p>
    <w:p w:rsidR="00A67E04" w:rsidRDefault="00A67E04" w:rsidP="00521DE5">
      <w:pPr>
        <w:rPr>
          <w:b/>
        </w:rPr>
      </w:pPr>
      <w:r w:rsidRPr="0063331D">
        <w:rPr>
          <w:b/>
        </w:rPr>
        <w:t>Prawo</w:t>
      </w:r>
      <w:r w:rsidR="00521DE5">
        <w:rPr>
          <w:b/>
        </w:rPr>
        <w:t xml:space="preserve"> </w:t>
      </w:r>
    </w:p>
    <w:p w:rsidR="00521DE5" w:rsidRPr="00521DE5" w:rsidRDefault="00521DE5"/>
    <w:p w:rsidR="0063331D" w:rsidRPr="00D25C72" w:rsidRDefault="00521DE5" w:rsidP="001A5CDF">
      <w:pPr>
        <w:pStyle w:val="Akapitzlist"/>
        <w:numPr>
          <w:ilvl w:val="0"/>
          <w:numId w:val="2"/>
        </w:numPr>
        <w:jc w:val="both"/>
      </w:pPr>
      <w:r>
        <w:rPr>
          <w:rFonts w:ascii="Arial" w:hAnsi="Arial" w:cs="Arial"/>
          <w:noProof/>
          <w:sz w:val="20"/>
          <w:szCs w:val="20"/>
        </w:rPr>
        <w:lastRenderedPageBreak/>
        <w:drawing>
          <wp:anchor distT="0" distB="0" distL="114300" distR="114300" simplePos="0" relativeHeight="251659264" behindDoc="1" locked="0" layoutInCell="1" allowOverlap="1" wp14:anchorId="344A41A2">
            <wp:simplePos x="0" y="0"/>
            <wp:positionH relativeFrom="column">
              <wp:posOffset>2148205</wp:posOffset>
            </wp:positionH>
            <wp:positionV relativeFrom="paragraph">
              <wp:posOffset>285750</wp:posOffset>
            </wp:positionV>
            <wp:extent cx="1236345" cy="1503680"/>
            <wp:effectExtent l="0" t="0" r="1905" b="1270"/>
            <wp:wrapNone/>
            <wp:docPr id="6" name="Obraz 6" descr="Obraz znaleziony dla: ludziki do prezentac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braz znaleziony dla: ludziki do prezentacj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6345" cy="1503680"/>
                    </a:xfrm>
                    <a:prstGeom prst="rect">
                      <a:avLst/>
                    </a:prstGeom>
                    <a:noFill/>
                    <a:ln>
                      <a:noFill/>
                    </a:ln>
                  </pic:spPr>
                </pic:pic>
              </a:graphicData>
            </a:graphic>
          </wp:anchor>
        </w:drawing>
      </w:r>
      <w:r w:rsidR="0063331D" w:rsidRPr="00D25C72">
        <w:t>Podstawowym aktem prawa Unii Europejskiej dotyczącym ochrony powietrza jest dyrektywa Parlamentu Europejskiego i Rady 2008/50/WE z 21 maja 2008 r. w sprawie jakości powietrza i</w:t>
      </w:r>
      <w:r w:rsidR="001A5CDF">
        <w:t> </w:t>
      </w:r>
      <w:r w:rsidR="0063331D" w:rsidRPr="00D25C72">
        <w:t xml:space="preserve">czystszego powietrza dla Europy (zwana również dyrektywa CAFE – </w:t>
      </w:r>
      <w:proofErr w:type="spellStart"/>
      <w:r w:rsidR="0063331D" w:rsidRPr="00D25C72">
        <w:t>Clean</w:t>
      </w:r>
      <w:proofErr w:type="spellEnd"/>
      <w:r w:rsidR="0063331D" w:rsidRPr="00D25C72">
        <w:t xml:space="preserve"> </w:t>
      </w:r>
      <w:proofErr w:type="spellStart"/>
      <w:r w:rsidR="0063331D" w:rsidRPr="00D25C72">
        <w:t>Air</w:t>
      </w:r>
      <w:proofErr w:type="spellEnd"/>
      <w:r w:rsidR="0063331D" w:rsidRPr="00D25C72">
        <w:t xml:space="preserve"> For Europe). </w:t>
      </w:r>
      <w:r w:rsidR="00C6656B" w:rsidRPr="00D25C72">
        <w:t>Zgodnie z dyrektywa CAFE ocenę jakości powietrza i zarządzanie jakością powietrza prowadzi się w strefach i aglomeracjach  wyznaczonych przez państwa członkowskie. Ciekawym instrumentem przeciwdziałania niskiej emisji w Polsce, choć niewynikającym bezpośrednio z</w:t>
      </w:r>
      <w:r w:rsidR="001A5CDF">
        <w:t> </w:t>
      </w:r>
      <w:r w:rsidR="00C6656B" w:rsidRPr="00D25C72">
        <w:t>dyrektywy CAFE są kompetencje sejmików wojewódzkich do wprowadzania uchwał, ograniczeń, lub zakazów w zakresie eksploatacji instalacji, w których następuje spalanie paliw (art.96 ust. 1 Prawo Ochrony Środowiska).</w:t>
      </w:r>
    </w:p>
    <w:p w:rsidR="005A1CCF" w:rsidRPr="00D25C72" w:rsidRDefault="005A1CCF" w:rsidP="001A5CDF">
      <w:pPr>
        <w:pStyle w:val="Akapitzlist"/>
        <w:jc w:val="both"/>
      </w:pPr>
    </w:p>
    <w:p w:rsidR="003F5343" w:rsidRPr="00D25C72" w:rsidRDefault="001B48E1" w:rsidP="001A5CDF">
      <w:pPr>
        <w:pStyle w:val="Akapitzlist"/>
        <w:numPr>
          <w:ilvl w:val="0"/>
          <w:numId w:val="2"/>
        </w:numPr>
        <w:jc w:val="both"/>
      </w:pPr>
      <w:r w:rsidRPr="00D25C72">
        <w:t xml:space="preserve">Od 1 stycznia 2020 roku zaczną obowiązywać wymogi zawarte w </w:t>
      </w:r>
      <w:r w:rsidRPr="00D25C72">
        <w:rPr>
          <w:u w:val="single"/>
        </w:rPr>
        <w:t>rozporządzeniu</w:t>
      </w:r>
      <w:r w:rsidRPr="00D25C72">
        <w:t xml:space="preserve"> Komisji Europejskiej nr 2015/1189 z dnia 28 kwietnia 2015r. w sprawie wykonania </w:t>
      </w:r>
      <w:r w:rsidRPr="00D25C72">
        <w:rPr>
          <w:u w:val="single"/>
        </w:rPr>
        <w:t>dyrektywy</w:t>
      </w:r>
      <w:r w:rsidRPr="00D25C72">
        <w:t xml:space="preserve"> ramowej Parlamentu Europejskiego i Rady 2009/125/WE w odniesieniu do wymogów dotyczących </w:t>
      </w:r>
      <w:r w:rsidR="00C6656B" w:rsidRPr="00D25C72">
        <w:rPr>
          <w:bCs/>
        </w:rPr>
        <w:t>EKOPROJEKTU</w:t>
      </w:r>
      <w:r w:rsidRPr="00D25C72">
        <w:t xml:space="preserve"> dla kotłów na paliwo stałe. Po tym dniu kotły o mocy znamionowej do 500kW wprowadzane do obrotu muszą spełniać wymagania określone w powyższym rozporządzeniu. </w:t>
      </w:r>
    </w:p>
    <w:p w:rsidR="003F5343" w:rsidRPr="00D25C72" w:rsidRDefault="001B48E1" w:rsidP="001A5CDF">
      <w:pPr>
        <w:ind w:left="720"/>
        <w:jc w:val="both"/>
      </w:pPr>
      <w:r w:rsidRPr="00D25C72">
        <w:t>Rozporządzenie nie dotyczy jedynie:</w:t>
      </w:r>
    </w:p>
    <w:p w:rsidR="003F5343" w:rsidRPr="00D25C72" w:rsidRDefault="001B48E1" w:rsidP="001A5CDF">
      <w:pPr>
        <w:pStyle w:val="Akapitzlist"/>
        <w:numPr>
          <w:ilvl w:val="0"/>
          <w:numId w:val="3"/>
        </w:numPr>
        <w:jc w:val="both"/>
      </w:pPr>
      <w:r w:rsidRPr="00D25C72">
        <w:t xml:space="preserve">kotłów wytwarzających ciepło wyłącznie na cele przygotowania ciepłej wody </w:t>
      </w:r>
      <w:r w:rsidR="00BB48C9" w:rsidRPr="00D25C72">
        <w:t xml:space="preserve"> - </w:t>
      </w:r>
      <w:r w:rsidRPr="00D25C72">
        <w:t xml:space="preserve">użytkowej, </w:t>
      </w:r>
    </w:p>
    <w:p w:rsidR="003F5343" w:rsidRPr="00D25C72" w:rsidRDefault="001B48E1" w:rsidP="001A5CDF">
      <w:pPr>
        <w:pStyle w:val="Akapitzlist"/>
        <w:numPr>
          <w:ilvl w:val="0"/>
          <w:numId w:val="3"/>
        </w:numPr>
        <w:jc w:val="both"/>
      </w:pPr>
      <w:r w:rsidRPr="00D25C72">
        <w:t xml:space="preserve">kotłów ogrzewających gazowe nośniki ciepła (para, powietrze), </w:t>
      </w:r>
    </w:p>
    <w:p w:rsidR="003F5343" w:rsidRPr="00D25C72" w:rsidRDefault="001B48E1" w:rsidP="001A5CDF">
      <w:pPr>
        <w:pStyle w:val="Akapitzlist"/>
        <w:numPr>
          <w:ilvl w:val="0"/>
          <w:numId w:val="3"/>
        </w:numPr>
        <w:jc w:val="both"/>
      </w:pPr>
      <w:r w:rsidRPr="00D25C72">
        <w:t>kotłów kogeneracyjnych na paliwo stałe o maksymalnej mocy elektrycznej 50 kW lub większej</w:t>
      </w:r>
    </w:p>
    <w:p w:rsidR="003F5343" w:rsidRPr="00D25C72" w:rsidRDefault="001B48E1" w:rsidP="001A5CDF">
      <w:pPr>
        <w:pStyle w:val="Akapitzlist"/>
        <w:numPr>
          <w:ilvl w:val="0"/>
          <w:numId w:val="3"/>
        </w:numPr>
        <w:jc w:val="both"/>
      </w:pPr>
      <w:r w:rsidRPr="00D25C72">
        <w:t>kotłów na biomasę niedrzewną.</w:t>
      </w:r>
    </w:p>
    <w:p w:rsidR="00BB48C9" w:rsidRPr="00D25C72" w:rsidRDefault="00BB48C9" w:rsidP="001A5CDF">
      <w:pPr>
        <w:jc w:val="both"/>
      </w:pPr>
    </w:p>
    <w:p w:rsidR="00BB48C9" w:rsidRPr="00D25C72" w:rsidRDefault="00BB48C9" w:rsidP="001A5CDF">
      <w:pPr>
        <w:pStyle w:val="Akapitzlist"/>
        <w:numPr>
          <w:ilvl w:val="0"/>
          <w:numId w:val="4"/>
        </w:numPr>
        <w:jc w:val="both"/>
        <w:rPr>
          <w:rFonts w:cstheme="minorHAnsi"/>
        </w:rPr>
      </w:pPr>
      <w:r w:rsidRPr="00D25C72">
        <w:t xml:space="preserve">Od 1 października weszły w życie przepisy zakazujące sprzedaży i instalacji kotłów niższych klas jak 5, ponieważ przyczyniają się one do powstania smogu - </w:t>
      </w:r>
      <w:r w:rsidRPr="00D25C72">
        <w:rPr>
          <w:rFonts w:cstheme="minorHAnsi"/>
        </w:rPr>
        <w:t>Rozporządzenie Ministra Rozwoju i Finansów z dnia 1 sierpnia 2017 r. w sprawie wymagań dla kotłów na paliwo stałe.</w:t>
      </w:r>
    </w:p>
    <w:p w:rsidR="00C6656B" w:rsidRPr="00D25C72" w:rsidRDefault="00C6656B" w:rsidP="001A5CDF">
      <w:pPr>
        <w:jc w:val="both"/>
        <w:rPr>
          <w:b/>
        </w:rPr>
      </w:pPr>
    </w:p>
    <w:p w:rsidR="0083047A" w:rsidRPr="00D25C72" w:rsidRDefault="00D25C72" w:rsidP="001A5CDF">
      <w:pPr>
        <w:jc w:val="both"/>
        <w:rPr>
          <w:b/>
        </w:rPr>
      </w:pPr>
      <w:r w:rsidRPr="00D25C72">
        <w:rPr>
          <w:b/>
        </w:rPr>
        <w:t>Dobre praktyki w ograniczaniu niskiej emisji</w:t>
      </w:r>
    </w:p>
    <w:p w:rsidR="00AD458E" w:rsidRDefault="00D25C72" w:rsidP="001A5CDF">
      <w:pPr>
        <w:pStyle w:val="Akapitzlist"/>
        <w:numPr>
          <w:ilvl w:val="0"/>
          <w:numId w:val="4"/>
        </w:numPr>
        <w:jc w:val="both"/>
      </w:pPr>
      <w:r>
        <w:t>Zmniejszenie zużycia energii np. do ogrzewania budynków mieszkalnych poprzez kompleksową termomodernizację budynków,</w:t>
      </w:r>
    </w:p>
    <w:p w:rsidR="003F5343" w:rsidRPr="00D25C72" w:rsidRDefault="001B48E1" w:rsidP="001A5CDF">
      <w:pPr>
        <w:pStyle w:val="Akapitzlist"/>
        <w:numPr>
          <w:ilvl w:val="0"/>
          <w:numId w:val="4"/>
        </w:numPr>
        <w:jc w:val="both"/>
      </w:pPr>
      <w:r w:rsidRPr="00D25C72">
        <w:t>Właściwy dobór paliwa do paleniska; ilość emitowanych zanieczyszczeń ze spalania paliwa stałego w warstwie uzależniona jest nie tylko od techniki organizacji spalania, składu chemicznego paliwa, ale także od wielkości ziarna;</w:t>
      </w:r>
    </w:p>
    <w:p w:rsidR="00D25C72" w:rsidRDefault="00AD458E" w:rsidP="001A5CDF">
      <w:pPr>
        <w:pStyle w:val="Akapitzlist"/>
        <w:numPr>
          <w:ilvl w:val="0"/>
          <w:numId w:val="4"/>
        </w:numPr>
        <w:jc w:val="both"/>
      </w:pPr>
      <w:r>
        <w:t>Wykorzystanie odnawialnych źródeł energii,</w:t>
      </w:r>
    </w:p>
    <w:p w:rsidR="00AD458E" w:rsidRDefault="00AD458E" w:rsidP="001A5CDF">
      <w:pPr>
        <w:pStyle w:val="Akapitzlist"/>
        <w:numPr>
          <w:ilvl w:val="0"/>
          <w:numId w:val="4"/>
        </w:numPr>
        <w:jc w:val="both"/>
      </w:pPr>
      <w:r>
        <w:t>Modernizacja i rozbudowa systemów ciepłowniczych,</w:t>
      </w:r>
    </w:p>
    <w:p w:rsidR="00AD458E" w:rsidRDefault="00AD458E" w:rsidP="001A5CDF">
      <w:pPr>
        <w:pStyle w:val="Akapitzlist"/>
        <w:numPr>
          <w:ilvl w:val="0"/>
          <w:numId w:val="4"/>
        </w:numPr>
        <w:jc w:val="both"/>
      </w:pPr>
      <w:r>
        <w:t>Promowanie przyjaznych dla środowiska form transportu.</w:t>
      </w:r>
    </w:p>
    <w:p w:rsidR="00AD458E" w:rsidRDefault="00AD458E" w:rsidP="00AD458E">
      <w:pPr>
        <w:pStyle w:val="Akapitzlist"/>
      </w:pPr>
    </w:p>
    <w:p w:rsidR="00AD458E" w:rsidRPr="00AD458E" w:rsidRDefault="00AD458E" w:rsidP="00AD458E">
      <w:pPr>
        <w:pStyle w:val="Akapitzlist"/>
        <w:rPr>
          <w:b/>
        </w:rPr>
      </w:pPr>
      <w:r w:rsidRPr="00AD458E">
        <w:rPr>
          <w:b/>
        </w:rPr>
        <w:t>Pamiętaj!!!</w:t>
      </w:r>
    </w:p>
    <w:p w:rsidR="001A5CDF" w:rsidRDefault="00AD458E" w:rsidP="001A5CDF">
      <w:pPr>
        <w:pStyle w:val="Akapitzlist"/>
        <w:jc w:val="center"/>
        <w:rPr>
          <w:b/>
          <w:i/>
        </w:rPr>
      </w:pPr>
      <w:r w:rsidRPr="00AD458E">
        <w:rPr>
          <w:b/>
          <w:i/>
        </w:rPr>
        <w:t xml:space="preserve">„Nie odziedziczyliśmy ziemi po naszych przodkach. </w:t>
      </w:r>
      <w:r w:rsidRPr="00AD458E">
        <w:rPr>
          <w:b/>
          <w:i/>
        </w:rPr>
        <w:br/>
        <w:t>Pożyczyliśmy ja tylko od naszych dzieci”</w:t>
      </w:r>
    </w:p>
    <w:p w:rsidR="00E26D1A" w:rsidRDefault="00E26D1A" w:rsidP="001A5CDF">
      <w:pPr>
        <w:pStyle w:val="Akapitzlist"/>
        <w:jc w:val="right"/>
        <w:rPr>
          <w:i/>
        </w:rPr>
      </w:pPr>
    </w:p>
    <w:p w:rsidR="00AD458E" w:rsidRDefault="00AD458E" w:rsidP="001A5CDF">
      <w:pPr>
        <w:pStyle w:val="Akapitzlist"/>
        <w:jc w:val="right"/>
        <w:rPr>
          <w:i/>
        </w:rPr>
      </w:pPr>
      <w:bookmarkStart w:id="0" w:name="_GoBack"/>
      <w:bookmarkEnd w:id="0"/>
      <w:proofErr w:type="spellStart"/>
      <w:r w:rsidRPr="001A5CDF">
        <w:rPr>
          <w:i/>
        </w:rPr>
        <w:t>Antoine</w:t>
      </w:r>
      <w:proofErr w:type="spellEnd"/>
      <w:r w:rsidRPr="001A5CDF">
        <w:rPr>
          <w:i/>
        </w:rPr>
        <w:t xml:space="preserve"> de Saint-</w:t>
      </w:r>
      <w:proofErr w:type="spellStart"/>
      <w:r w:rsidRPr="001A5CDF">
        <w:rPr>
          <w:i/>
        </w:rPr>
        <w:t>Exup</w:t>
      </w:r>
      <w:r w:rsidRPr="001A5CDF">
        <w:rPr>
          <w:rFonts w:cstheme="minorHAnsi"/>
          <w:i/>
        </w:rPr>
        <w:t>é</w:t>
      </w:r>
      <w:r w:rsidRPr="001A5CDF">
        <w:rPr>
          <w:i/>
        </w:rPr>
        <w:t>ry</w:t>
      </w:r>
      <w:proofErr w:type="spellEnd"/>
    </w:p>
    <w:p w:rsidR="00E26D1A" w:rsidRDefault="00E26D1A" w:rsidP="001A5CDF">
      <w:pPr>
        <w:pStyle w:val="Akapitzlist"/>
        <w:jc w:val="right"/>
        <w:rPr>
          <w:i/>
        </w:rPr>
      </w:pPr>
    </w:p>
    <w:p w:rsidR="00E26D1A" w:rsidRDefault="00E26D1A" w:rsidP="001A5CDF">
      <w:pPr>
        <w:pStyle w:val="Akapitzlist"/>
        <w:jc w:val="right"/>
        <w:rPr>
          <w:i/>
        </w:rPr>
      </w:pPr>
    </w:p>
    <w:p w:rsidR="00E26D1A" w:rsidRDefault="00E26D1A" w:rsidP="001A5CDF">
      <w:pPr>
        <w:pStyle w:val="Akapitzlist"/>
        <w:jc w:val="right"/>
        <w:rPr>
          <w:i/>
        </w:rPr>
      </w:pPr>
    </w:p>
    <w:p w:rsidR="001A5CDF" w:rsidRPr="000F5ED8" w:rsidRDefault="001A5CDF" w:rsidP="001A5CDF">
      <w:pPr>
        <w:pStyle w:val="Akapitzlist"/>
        <w:jc w:val="right"/>
        <w:rPr>
          <w:i/>
        </w:rPr>
      </w:pPr>
      <w:r w:rsidRPr="000F5ED8">
        <w:rPr>
          <w:i/>
        </w:rPr>
        <w:t>Anna Bakura-Kijanka</w:t>
      </w:r>
    </w:p>
    <w:p w:rsidR="001A5CDF" w:rsidRPr="000F5ED8" w:rsidRDefault="000F5ED8" w:rsidP="001A5CDF">
      <w:pPr>
        <w:pStyle w:val="Akapitzlist"/>
        <w:jc w:val="right"/>
        <w:rPr>
          <w:i/>
        </w:rPr>
      </w:pPr>
      <w:r w:rsidRPr="000F5ED8">
        <w:rPr>
          <w:i/>
        </w:rPr>
        <w:t>Źródło: Czysta Energia 9-10(190)2017; 7-8(189)2017</w:t>
      </w:r>
    </w:p>
    <w:p w:rsidR="000F5ED8" w:rsidRPr="000F5ED8" w:rsidRDefault="000F5ED8" w:rsidP="001A5CDF">
      <w:pPr>
        <w:pStyle w:val="Akapitzlist"/>
        <w:jc w:val="right"/>
        <w:rPr>
          <w:i/>
        </w:rPr>
      </w:pPr>
      <w:r w:rsidRPr="000F5ED8">
        <w:rPr>
          <w:i/>
        </w:rPr>
        <w:t>Materiały ze szkolenia w Laboratorium Edukacyjno-Badawczym Odnawialnych Źródeł i Poszanowania Energii AGH w Miękini -listopad 2017</w:t>
      </w:r>
    </w:p>
    <w:p w:rsidR="00AD458E" w:rsidRPr="00D25C72" w:rsidRDefault="00AD458E" w:rsidP="00F00419">
      <w:pPr>
        <w:spacing w:after="100" w:afterAutospacing="1" w:line="240" w:lineRule="auto"/>
      </w:pPr>
      <w:r>
        <w:t xml:space="preserve"> </w:t>
      </w:r>
    </w:p>
    <w:sectPr w:rsidR="00AD458E" w:rsidRPr="00D25C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7434D6"/>
    <w:multiLevelType w:val="hybridMultilevel"/>
    <w:tmpl w:val="2592BE3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58D1A7B"/>
    <w:multiLevelType w:val="hybridMultilevel"/>
    <w:tmpl w:val="33B645A0"/>
    <w:lvl w:ilvl="0" w:tplc="8B92C490">
      <w:start w:val="1"/>
      <w:numFmt w:val="bullet"/>
      <w:lvlText w:val=""/>
      <w:lvlJc w:val="left"/>
      <w:pPr>
        <w:tabs>
          <w:tab w:val="num" w:pos="720"/>
        </w:tabs>
        <w:ind w:left="720" w:hanging="360"/>
      </w:pPr>
      <w:rPr>
        <w:rFonts w:ascii="Wingdings 3" w:hAnsi="Wingdings 3" w:hint="default"/>
      </w:rPr>
    </w:lvl>
    <w:lvl w:ilvl="1" w:tplc="847047D8">
      <w:numFmt w:val="bullet"/>
      <w:lvlText w:val=""/>
      <w:lvlJc w:val="left"/>
      <w:pPr>
        <w:tabs>
          <w:tab w:val="num" w:pos="1440"/>
        </w:tabs>
        <w:ind w:left="1440" w:hanging="360"/>
      </w:pPr>
      <w:rPr>
        <w:rFonts w:ascii="Wingdings 3" w:hAnsi="Wingdings 3" w:hint="default"/>
      </w:rPr>
    </w:lvl>
    <w:lvl w:ilvl="2" w:tplc="99168CB0" w:tentative="1">
      <w:start w:val="1"/>
      <w:numFmt w:val="bullet"/>
      <w:lvlText w:val=""/>
      <w:lvlJc w:val="left"/>
      <w:pPr>
        <w:tabs>
          <w:tab w:val="num" w:pos="2160"/>
        </w:tabs>
        <w:ind w:left="2160" w:hanging="360"/>
      </w:pPr>
      <w:rPr>
        <w:rFonts w:ascii="Wingdings 3" w:hAnsi="Wingdings 3" w:hint="default"/>
      </w:rPr>
    </w:lvl>
    <w:lvl w:ilvl="3" w:tplc="E08029FA" w:tentative="1">
      <w:start w:val="1"/>
      <w:numFmt w:val="bullet"/>
      <w:lvlText w:val=""/>
      <w:lvlJc w:val="left"/>
      <w:pPr>
        <w:tabs>
          <w:tab w:val="num" w:pos="2880"/>
        </w:tabs>
        <w:ind w:left="2880" w:hanging="360"/>
      </w:pPr>
      <w:rPr>
        <w:rFonts w:ascii="Wingdings 3" w:hAnsi="Wingdings 3" w:hint="default"/>
      </w:rPr>
    </w:lvl>
    <w:lvl w:ilvl="4" w:tplc="B7188DDC" w:tentative="1">
      <w:start w:val="1"/>
      <w:numFmt w:val="bullet"/>
      <w:lvlText w:val=""/>
      <w:lvlJc w:val="left"/>
      <w:pPr>
        <w:tabs>
          <w:tab w:val="num" w:pos="3600"/>
        </w:tabs>
        <w:ind w:left="3600" w:hanging="360"/>
      </w:pPr>
      <w:rPr>
        <w:rFonts w:ascii="Wingdings 3" w:hAnsi="Wingdings 3" w:hint="default"/>
      </w:rPr>
    </w:lvl>
    <w:lvl w:ilvl="5" w:tplc="CA7C6B12" w:tentative="1">
      <w:start w:val="1"/>
      <w:numFmt w:val="bullet"/>
      <w:lvlText w:val=""/>
      <w:lvlJc w:val="left"/>
      <w:pPr>
        <w:tabs>
          <w:tab w:val="num" w:pos="4320"/>
        </w:tabs>
        <w:ind w:left="4320" w:hanging="360"/>
      </w:pPr>
      <w:rPr>
        <w:rFonts w:ascii="Wingdings 3" w:hAnsi="Wingdings 3" w:hint="default"/>
      </w:rPr>
    </w:lvl>
    <w:lvl w:ilvl="6" w:tplc="06D0CF2A" w:tentative="1">
      <w:start w:val="1"/>
      <w:numFmt w:val="bullet"/>
      <w:lvlText w:val=""/>
      <w:lvlJc w:val="left"/>
      <w:pPr>
        <w:tabs>
          <w:tab w:val="num" w:pos="5040"/>
        </w:tabs>
        <w:ind w:left="5040" w:hanging="360"/>
      </w:pPr>
      <w:rPr>
        <w:rFonts w:ascii="Wingdings 3" w:hAnsi="Wingdings 3" w:hint="default"/>
      </w:rPr>
    </w:lvl>
    <w:lvl w:ilvl="7" w:tplc="3D646FC8" w:tentative="1">
      <w:start w:val="1"/>
      <w:numFmt w:val="bullet"/>
      <w:lvlText w:val=""/>
      <w:lvlJc w:val="left"/>
      <w:pPr>
        <w:tabs>
          <w:tab w:val="num" w:pos="5760"/>
        </w:tabs>
        <w:ind w:left="5760" w:hanging="360"/>
      </w:pPr>
      <w:rPr>
        <w:rFonts w:ascii="Wingdings 3" w:hAnsi="Wingdings 3" w:hint="default"/>
      </w:rPr>
    </w:lvl>
    <w:lvl w:ilvl="8" w:tplc="CA6AD1B8"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4DBB41A6"/>
    <w:multiLevelType w:val="hybridMultilevel"/>
    <w:tmpl w:val="774299B0"/>
    <w:lvl w:ilvl="0" w:tplc="7E040348">
      <w:start w:val="1"/>
      <w:numFmt w:val="bullet"/>
      <w:lvlText w:val=""/>
      <w:lvlJc w:val="left"/>
      <w:pPr>
        <w:tabs>
          <w:tab w:val="num" w:pos="720"/>
        </w:tabs>
        <w:ind w:left="720" w:hanging="360"/>
      </w:pPr>
      <w:rPr>
        <w:rFonts w:ascii="Wingdings 3" w:hAnsi="Wingdings 3" w:hint="default"/>
      </w:rPr>
    </w:lvl>
    <w:lvl w:ilvl="1" w:tplc="5854F7FE" w:tentative="1">
      <w:start w:val="1"/>
      <w:numFmt w:val="bullet"/>
      <w:lvlText w:val=""/>
      <w:lvlJc w:val="left"/>
      <w:pPr>
        <w:tabs>
          <w:tab w:val="num" w:pos="1440"/>
        </w:tabs>
        <w:ind w:left="1440" w:hanging="360"/>
      </w:pPr>
      <w:rPr>
        <w:rFonts w:ascii="Wingdings 3" w:hAnsi="Wingdings 3" w:hint="default"/>
      </w:rPr>
    </w:lvl>
    <w:lvl w:ilvl="2" w:tplc="9286AAE2" w:tentative="1">
      <w:start w:val="1"/>
      <w:numFmt w:val="bullet"/>
      <w:lvlText w:val=""/>
      <w:lvlJc w:val="left"/>
      <w:pPr>
        <w:tabs>
          <w:tab w:val="num" w:pos="2160"/>
        </w:tabs>
        <w:ind w:left="2160" w:hanging="360"/>
      </w:pPr>
      <w:rPr>
        <w:rFonts w:ascii="Wingdings 3" w:hAnsi="Wingdings 3" w:hint="default"/>
      </w:rPr>
    </w:lvl>
    <w:lvl w:ilvl="3" w:tplc="0D9676D4" w:tentative="1">
      <w:start w:val="1"/>
      <w:numFmt w:val="bullet"/>
      <w:lvlText w:val=""/>
      <w:lvlJc w:val="left"/>
      <w:pPr>
        <w:tabs>
          <w:tab w:val="num" w:pos="2880"/>
        </w:tabs>
        <w:ind w:left="2880" w:hanging="360"/>
      </w:pPr>
      <w:rPr>
        <w:rFonts w:ascii="Wingdings 3" w:hAnsi="Wingdings 3" w:hint="default"/>
      </w:rPr>
    </w:lvl>
    <w:lvl w:ilvl="4" w:tplc="41642A08" w:tentative="1">
      <w:start w:val="1"/>
      <w:numFmt w:val="bullet"/>
      <w:lvlText w:val=""/>
      <w:lvlJc w:val="left"/>
      <w:pPr>
        <w:tabs>
          <w:tab w:val="num" w:pos="3600"/>
        </w:tabs>
        <w:ind w:left="3600" w:hanging="360"/>
      </w:pPr>
      <w:rPr>
        <w:rFonts w:ascii="Wingdings 3" w:hAnsi="Wingdings 3" w:hint="default"/>
      </w:rPr>
    </w:lvl>
    <w:lvl w:ilvl="5" w:tplc="FEA251F2" w:tentative="1">
      <w:start w:val="1"/>
      <w:numFmt w:val="bullet"/>
      <w:lvlText w:val=""/>
      <w:lvlJc w:val="left"/>
      <w:pPr>
        <w:tabs>
          <w:tab w:val="num" w:pos="4320"/>
        </w:tabs>
        <w:ind w:left="4320" w:hanging="360"/>
      </w:pPr>
      <w:rPr>
        <w:rFonts w:ascii="Wingdings 3" w:hAnsi="Wingdings 3" w:hint="default"/>
      </w:rPr>
    </w:lvl>
    <w:lvl w:ilvl="6" w:tplc="0ADE295C" w:tentative="1">
      <w:start w:val="1"/>
      <w:numFmt w:val="bullet"/>
      <w:lvlText w:val=""/>
      <w:lvlJc w:val="left"/>
      <w:pPr>
        <w:tabs>
          <w:tab w:val="num" w:pos="5040"/>
        </w:tabs>
        <w:ind w:left="5040" w:hanging="360"/>
      </w:pPr>
      <w:rPr>
        <w:rFonts w:ascii="Wingdings 3" w:hAnsi="Wingdings 3" w:hint="default"/>
      </w:rPr>
    </w:lvl>
    <w:lvl w:ilvl="7" w:tplc="09DC910E" w:tentative="1">
      <w:start w:val="1"/>
      <w:numFmt w:val="bullet"/>
      <w:lvlText w:val=""/>
      <w:lvlJc w:val="left"/>
      <w:pPr>
        <w:tabs>
          <w:tab w:val="num" w:pos="5760"/>
        </w:tabs>
        <w:ind w:left="5760" w:hanging="360"/>
      </w:pPr>
      <w:rPr>
        <w:rFonts w:ascii="Wingdings 3" w:hAnsi="Wingdings 3" w:hint="default"/>
      </w:rPr>
    </w:lvl>
    <w:lvl w:ilvl="8" w:tplc="41AA6F4C"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4E5C711A"/>
    <w:multiLevelType w:val="hybridMultilevel"/>
    <w:tmpl w:val="82E408A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4EEA22E8"/>
    <w:multiLevelType w:val="hybridMultilevel"/>
    <w:tmpl w:val="9C4A7136"/>
    <w:lvl w:ilvl="0" w:tplc="0415000D">
      <w:start w:val="1"/>
      <w:numFmt w:val="bullet"/>
      <w:lvlText w:val=""/>
      <w:lvlJc w:val="left"/>
      <w:pPr>
        <w:ind w:left="1848" w:hanging="360"/>
      </w:pPr>
      <w:rPr>
        <w:rFonts w:ascii="Wingdings" w:hAnsi="Wingdings" w:hint="default"/>
      </w:rPr>
    </w:lvl>
    <w:lvl w:ilvl="1" w:tplc="04150003" w:tentative="1">
      <w:start w:val="1"/>
      <w:numFmt w:val="bullet"/>
      <w:lvlText w:val="o"/>
      <w:lvlJc w:val="left"/>
      <w:pPr>
        <w:ind w:left="2568" w:hanging="360"/>
      </w:pPr>
      <w:rPr>
        <w:rFonts w:ascii="Courier New" w:hAnsi="Courier New" w:cs="Courier New" w:hint="default"/>
      </w:rPr>
    </w:lvl>
    <w:lvl w:ilvl="2" w:tplc="04150005" w:tentative="1">
      <w:start w:val="1"/>
      <w:numFmt w:val="bullet"/>
      <w:lvlText w:val=""/>
      <w:lvlJc w:val="left"/>
      <w:pPr>
        <w:ind w:left="3288" w:hanging="360"/>
      </w:pPr>
      <w:rPr>
        <w:rFonts w:ascii="Wingdings" w:hAnsi="Wingdings" w:hint="default"/>
      </w:rPr>
    </w:lvl>
    <w:lvl w:ilvl="3" w:tplc="04150001" w:tentative="1">
      <w:start w:val="1"/>
      <w:numFmt w:val="bullet"/>
      <w:lvlText w:val=""/>
      <w:lvlJc w:val="left"/>
      <w:pPr>
        <w:ind w:left="4008" w:hanging="360"/>
      </w:pPr>
      <w:rPr>
        <w:rFonts w:ascii="Symbol" w:hAnsi="Symbol" w:hint="default"/>
      </w:rPr>
    </w:lvl>
    <w:lvl w:ilvl="4" w:tplc="04150003" w:tentative="1">
      <w:start w:val="1"/>
      <w:numFmt w:val="bullet"/>
      <w:lvlText w:val="o"/>
      <w:lvlJc w:val="left"/>
      <w:pPr>
        <w:ind w:left="4728" w:hanging="360"/>
      </w:pPr>
      <w:rPr>
        <w:rFonts w:ascii="Courier New" w:hAnsi="Courier New" w:cs="Courier New" w:hint="default"/>
      </w:rPr>
    </w:lvl>
    <w:lvl w:ilvl="5" w:tplc="04150005" w:tentative="1">
      <w:start w:val="1"/>
      <w:numFmt w:val="bullet"/>
      <w:lvlText w:val=""/>
      <w:lvlJc w:val="left"/>
      <w:pPr>
        <w:ind w:left="5448" w:hanging="360"/>
      </w:pPr>
      <w:rPr>
        <w:rFonts w:ascii="Wingdings" w:hAnsi="Wingdings" w:hint="default"/>
      </w:rPr>
    </w:lvl>
    <w:lvl w:ilvl="6" w:tplc="04150001" w:tentative="1">
      <w:start w:val="1"/>
      <w:numFmt w:val="bullet"/>
      <w:lvlText w:val=""/>
      <w:lvlJc w:val="left"/>
      <w:pPr>
        <w:ind w:left="6168" w:hanging="360"/>
      </w:pPr>
      <w:rPr>
        <w:rFonts w:ascii="Symbol" w:hAnsi="Symbol" w:hint="default"/>
      </w:rPr>
    </w:lvl>
    <w:lvl w:ilvl="7" w:tplc="04150003" w:tentative="1">
      <w:start w:val="1"/>
      <w:numFmt w:val="bullet"/>
      <w:lvlText w:val="o"/>
      <w:lvlJc w:val="left"/>
      <w:pPr>
        <w:ind w:left="6888" w:hanging="360"/>
      </w:pPr>
      <w:rPr>
        <w:rFonts w:ascii="Courier New" w:hAnsi="Courier New" w:cs="Courier New" w:hint="default"/>
      </w:rPr>
    </w:lvl>
    <w:lvl w:ilvl="8" w:tplc="04150005" w:tentative="1">
      <w:start w:val="1"/>
      <w:numFmt w:val="bullet"/>
      <w:lvlText w:val=""/>
      <w:lvlJc w:val="left"/>
      <w:pPr>
        <w:ind w:left="7608"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A83"/>
    <w:rsid w:val="000945EE"/>
    <w:rsid w:val="000C05A0"/>
    <w:rsid w:val="000F5ED8"/>
    <w:rsid w:val="00112197"/>
    <w:rsid w:val="001A5CDF"/>
    <w:rsid w:val="001B48E1"/>
    <w:rsid w:val="001D3453"/>
    <w:rsid w:val="00203223"/>
    <w:rsid w:val="00245603"/>
    <w:rsid w:val="002A1DDD"/>
    <w:rsid w:val="002E7A50"/>
    <w:rsid w:val="003103EB"/>
    <w:rsid w:val="0031786A"/>
    <w:rsid w:val="0036282B"/>
    <w:rsid w:val="00365F2D"/>
    <w:rsid w:val="00386427"/>
    <w:rsid w:val="003F5343"/>
    <w:rsid w:val="00485B45"/>
    <w:rsid w:val="00521DE5"/>
    <w:rsid w:val="00581B35"/>
    <w:rsid w:val="005A1CCF"/>
    <w:rsid w:val="005E0A1A"/>
    <w:rsid w:val="00631A83"/>
    <w:rsid w:val="0063331D"/>
    <w:rsid w:val="006A5057"/>
    <w:rsid w:val="007906C6"/>
    <w:rsid w:val="007A2595"/>
    <w:rsid w:val="0083047A"/>
    <w:rsid w:val="0089008B"/>
    <w:rsid w:val="00890707"/>
    <w:rsid w:val="008A75FA"/>
    <w:rsid w:val="00903B4C"/>
    <w:rsid w:val="00942274"/>
    <w:rsid w:val="009C24DC"/>
    <w:rsid w:val="00A67E04"/>
    <w:rsid w:val="00AB0D16"/>
    <w:rsid w:val="00AD458E"/>
    <w:rsid w:val="00B25875"/>
    <w:rsid w:val="00B404AB"/>
    <w:rsid w:val="00B95519"/>
    <w:rsid w:val="00BA6DC9"/>
    <w:rsid w:val="00BB48C9"/>
    <w:rsid w:val="00BF4822"/>
    <w:rsid w:val="00C46579"/>
    <w:rsid w:val="00C6656B"/>
    <w:rsid w:val="00D25C72"/>
    <w:rsid w:val="00D9644A"/>
    <w:rsid w:val="00DF0E93"/>
    <w:rsid w:val="00E12C1A"/>
    <w:rsid w:val="00E26D1A"/>
    <w:rsid w:val="00E420D2"/>
    <w:rsid w:val="00F00419"/>
    <w:rsid w:val="00F31209"/>
    <w:rsid w:val="00F3142C"/>
    <w:rsid w:val="00FF54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B9050"/>
  <w15:chartTrackingRefBased/>
  <w15:docId w15:val="{B1986619-CEDE-4C29-9EC9-578187511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6656B"/>
    <w:pPr>
      <w:ind w:left="720"/>
      <w:contextualSpacing/>
    </w:pPr>
  </w:style>
  <w:style w:type="paragraph" w:styleId="Tekstdymka">
    <w:name w:val="Balloon Text"/>
    <w:basedOn w:val="Normalny"/>
    <w:link w:val="TekstdymkaZnak"/>
    <w:uiPriority w:val="99"/>
    <w:semiHidden/>
    <w:unhideWhenUsed/>
    <w:rsid w:val="00903B4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03B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288844">
      <w:bodyDiv w:val="1"/>
      <w:marLeft w:val="0"/>
      <w:marRight w:val="0"/>
      <w:marTop w:val="0"/>
      <w:marBottom w:val="0"/>
      <w:divBdr>
        <w:top w:val="none" w:sz="0" w:space="0" w:color="auto"/>
        <w:left w:val="none" w:sz="0" w:space="0" w:color="auto"/>
        <w:bottom w:val="none" w:sz="0" w:space="0" w:color="auto"/>
        <w:right w:val="none" w:sz="0" w:space="0" w:color="auto"/>
      </w:divBdr>
      <w:divsChild>
        <w:div w:id="1852253391">
          <w:marLeft w:val="547"/>
          <w:marRight w:val="0"/>
          <w:marTop w:val="200"/>
          <w:marBottom w:val="0"/>
          <w:divBdr>
            <w:top w:val="none" w:sz="0" w:space="0" w:color="auto"/>
            <w:left w:val="none" w:sz="0" w:space="0" w:color="auto"/>
            <w:bottom w:val="none" w:sz="0" w:space="0" w:color="auto"/>
            <w:right w:val="none" w:sz="0" w:space="0" w:color="auto"/>
          </w:divBdr>
        </w:div>
        <w:div w:id="107429330">
          <w:marLeft w:val="547"/>
          <w:marRight w:val="0"/>
          <w:marTop w:val="200"/>
          <w:marBottom w:val="0"/>
          <w:divBdr>
            <w:top w:val="none" w:sz="0" w:space="0" w:color="auto"/>
            <w:left w:val="none" w:sz="0" w:space="0" w:color="auto"/>
            <w:bottom w:val="none" w:sz="0" w:space="0" w:color="auto"/>
            <w:right w:val="none" w:sz="0" w:space="0" w:color="auto"/>
          </w:divBdr>
        </w:div>
        <w:div w:id="1068110410">
          <w:marLeft w:val="1166"/>
          <w:marRight w:val="0"/>
          <w:marTop w:val="200"/>
          <w:marBottom w:val="0"/>
          <w:divBdr>
            <w:top w:val="none" w:sz="0" w:space="0" w:color="auto"/>
            <w:left w:val="none" w:sz="0" w:space="0" w:color="auto"/>
            <w:bottom w:val="none" w:sz="0" w:space="0" w:color="auto"/>
            <w:right w:val="none" w:sz="0" w:space="0" w:color="auto"/>
          </w:divBdr>
        </w:div>
        <w:div w:id="913472046">
          <w:marLeft w:val="1166"/>
          <w:marRight w:val="0"/>
          <w:marTop w:val="200"/>
          <w:marBottom w:val="0"/>
          <w:divBdr>
            <w:top w:val="none" w:sz="0" w:space="0" w:color="auto"/>
            <w:left w:val="none" w:sz="0" w:space="0" w:color="auto"/>
            <w:bottom w:val="none" w:sz="0" w:space="0" w:color="auto"/>
            <w:right w:val="none" w:sz="0" w:space="0" w:color="auto"/>
          </w:divBdr>
        </w:div>
        <w:div w:id="320472145">
          <w:marLeft w:val="1166"/>
          <w:marRight w:val="0"/>
          <w:marTop w:val="200"/>
          <w:marBottom w:val="0"/>
          <w:divBdr>
            <w:top w:val="none" w:sz="0" w:space="0" w:color="auto"/>
            <w:left w:val="none" w:sz="0" w:space="0" w:color="auto"/>
            <w:bottom w:val="none" w:sz="0" w:space="0" w:color="auto"/>
            <w:right w:val="none" w:sz="0" w:space="0" w:color="auto"/>
          </w:divBdr>
        </w:div>
        <w:div w:id="1127118012">
          <w:marLeft w:val="1166"/>
          <w:marRight w:val="0"/>
          <w:marTop w:val="200"/>
          <w:marBottom w:val="0"/>
          <w:divBdr>
            <w:top w:val="none" w:sz="0" w:space="0" w:color="auto"/>
            <w:left w:val="none" w:sz="0" w:space="0" w:color="auto"/>
            <w:bottom w:val="none" w:sz="0" w:space="0" w:color="auto"/>
            <w:right w:val="none" w:sz="0" w:space="0" w:color="auto"/>
          </w:divBdr>
        </w:div>
      </w:divsChild>
    </w:div>
    <w:div w:id="952177600">
      <w:bodyDiv w:val="1"/>
      <w:marLeft w:val="0"/>
      <w:marRight w:val="0"/>
      <w:marTop w:val="0"/>
      <w:marBottom w:val="0"/>
      <w:divBdr>
        <w:top w:val="none" w:sz="0" w:space="0" w:color="auto"/>
        <w:left w:val="none" w:sz="0" w:space="0" w:color="auto"/>
        <w:bottom w:val="none" w:sz="0" w:space="0" w:color="auto"/>
        <w:right w:val="none" w:sz="0" w:space="0" w:color="auto"/>
      </w:divBdr>
      <w:divsChild>
        <w:div w:id="1474716840">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lang="en-US" sz="1600" b="1" i="0" u="none" strike="noStrike" kern="1200" cap="all" baseline="0">
              <a:solidFill>
                <a:schemeClr val="tx1">
                  <a:lumMod val="65000"/>
                  <a:lumOff val="35000"/>
                </a:schemeClr>
              </a:solidFill>
              <a:latin typeface="+mn-lt"/>
              <a:ea typeface="+mn-ea"/>
              <a:cs typeface="+mn-cs"/>
            </a:defRPr>
          </a:pPr>
          <a:endParaRPr lang="pl-PL"/>
        </a:p>
      </c:txPr>
    </c:title>
    <c:autoTitleDeleted val="0"/>
    <c:plotArea>
      <c:layout/>
      <c:pieChart>
        <c:varyColors val="1"/>
        <c:ser>
          <c:idx val="0"/>
          <c:order val="0"/>
          <c:tx>
            <c:strRef>
              <c:f>Sheet1!$B$1</c:f>
              <c:strCache>
                <c:ptCount val="1"/>
                <c:pt idx="0">
                  <c:v>Emisja pyłów w zależności od sektorów</c:v>
                </c:pt>
              </c:strCache>
            </c:strRef>
          </c:tx>
          <c:dPt>
            <c:idx val="0"/>
            <c:bubble3D val="0"/>
            <c:explosion val="7"/>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3E9E-41A2-9DAD-A0DCA3DBBDC1}"/>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3E9E-41A2-9DAD-A0DCA3DBBDC1}"/>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3E9E-41A2-9DAD-A0DCA3DBBDC1}"/>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3E9E-41A2-9DAD-A0DCA3DBBDC1}"/>
              </c:ext>
            </c:extLst>
          </c:dPt>
          <c:dLbls>
            <c:dLbl>
              <c:idx val="0"/>
              <c:layout>
                <c:manualLayout>
                  <c:x val="0.10046168636038327"/>
                  <c:y val="-0.29381443298969095"/>
                </c:manualLayout>
              </c:layout>
              <c:spPr>
                <a:noFill/>
                <a:ln>
                  <a:noFill/>
                </a:ln>
                <a:effectLst/>
              </c:spPr>
              <c:txPr>
                <a:bodyPr rot="0" spcFirstLastPara="1" vertOverflow="ellipsis" vert="horz" wrap="square" lIns="38100" tIns="19050" rIns="38100" bIns="19050" anchor="ctr" anchorCtr="1">
                  <a:spAutoFit/>
                </a:bodyPr>
                <a:lstStyle/>
                <a:p>
                  <a:pPr>
                    <a:defRPr lang="en-US" sz="1330" b="1" i="0" u="none" strike="noStrike" kern="1200" spc="0" baseline="0">
                      <a:solidFill>
                        <a:schemeClr val="accent1"/>
                      </a:solidFill>
                      <a:latin typeface="+mn-lt"/>
                      <a:ea typeface="+mn-ea"/>
                      <a:cs typeface="+mn-cs"/>
                    </a:defRPr>
                  </a:pPr>
                  <a:endParaRPr lang="pl-PL"/>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3E9E-41A2-9DAD-A0DCA3DBBDC1}"/>
                </c:ext>
              </c:extLst>
            </c:dLbl>
            <c:dLbl>
              <c:idx val="1"/>
              <c:layout>
                <c:manualLayout>
                  <c:x val="-0.10660535005280539"/>
                  <c:y val="0.13848521127841476"/>
                </c:manualLayout>
              </c:layout>
              <c:spPr>
                <a:noFill/>
                <a:ln>
                  <a:noFill/>
                </a:ln>
                <a:effectLst/>
              </c:spPr>
              <c:txPr>
                <a:bodyPr rot="0" spcFirstLastPara="1" vertOverflow="ellipsis" vert="horz" wrap="square" lIns="38100" tIns="19050" rIns="38100" bIns="19050" anchor="ctr" anchorCtr="1">
                  <a:spAutoFit/>
                </a:bodyPr>
                <a:lstStyle/>
                <a:p>
                  <a:pPr>
                    <a:defRPr lang="en-US" sz="1330" b="1" i="0" u="none" strike="noStrike" kern="1200" spc="0" baseline="0">
                      <a:solidFill>
                        <a:schemeClr val="accent2"/>
                      </a:solidFill>
                      <a:latin typeface="+mn-lt"/>
                      <a:ea typeface="+mn-ea"/>
                      <a:cs typeface="+mn-cs"/>
                    </a:defRPr>
                  </a:pPr>
                  <a:endParaRPr lang="pl-PL"/>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3E9E-41A2-9DAD-A0DCA3DBBDC1}"/>
                </c:ext>
              </c:extLst>
            </c:dLbl>
            <c:dLbl>
              <c:idx val="2"/>
              <c:layout>
                <c:manualLayout>
                  <c:x val="-4.5274476513865305E-2"/>
                  <c:y val="-4.8732943469785572E-3"/>
                </c:manualLayout>
              </c:layout>
              <c:spPr>
                <a:noFill/>
                <a:ln>
                  <a:noFill/>
                </a:ln>
                <a:effectLst/>
              </c:spPr>
              <c:txPr>
                <a:bodyPr rot="0" spcFirstLastPara="1" vertOverflow="ellipsis" vert="horz" wrap="square" lIns="38100" tIns="19050" rIns="38100" bIns="19050" anchor="ctr" anchorCtr="1">
                  <a:spAutoFit/>
                </a:bodyPr>
                <a:lstStyle/>
                <a:p>
                  <a:pPr>
                    <a:defRPr lang="en-US" sz="1330" b="1" i="0" u="none" strike="noStrike" kern="1200" spc="0" baseline="0">
                      <a:solidFill>
                        <a:schemeClr val="accent3"/>
                      </a:solidFill>
                      <a:latin typeface="+mn-lt"/>
                      <a:ea typeface="+mn-ea"/>
                      <a:cs typeface="+mn-cs"/>
                    </a:defRPr>
                  </a:pPr>
                  <a:endParaRPr lang="pl-PL"/>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3E9E-41A2-9DAD-A0DCA3DBBDC1}"/>
                </c:ext>
              </c:extLst>
            </c:dLbl>
            <c:dLbl>
              <c:idx val="3"/>
              <c:layout>
                <c:manualLayout>
                  <c:x val="7.091418971298391E-2"/>
                  <c:y val="-8.1463353893429045E-3"/>
                </c:manualLayout>
              </c:layout>
              <c:tx>
                <c:rich>
                  <a:bodyPr rot="0" spcFirstLastPara="1" vertOverflow="ellipsis" vert="horz" wrap="square" lIns="38100" tIns="19050" rIns="38100" bIns="19050" anchor="ctr" anchorCtr="1">
                    <a:noAutofit/>
                  </a:bodyPr>
                  <a:lstStyle/>
                  <a:p>
                    <a:pPr>
                      <a:defRPr lang="en-US" sz="1330" b="1" i="0" u="none" strike="noStrike" kern="1200" spc="0" baseline="0">
                        <a:solidFill>
                          <a:schemeClr val="accent1"/>
                        </a:solidFill>
                        <a:latin typeface="+mn-lt"/>
                        <a:ea typeface="+mn-ea"/>
                        <a:cs typeface="+mn-cs"/>
                      </a:defRPr>
                    </a:pPr>
                    <a:fld id="{32C6879D-5905-49ED-98FC-29ACD2AD3E41}" type="CATEGORYNAME">
                      <a:rPr lang="en-US" sz="1330" smtClean="0"/>
                      <a:pPr>
                        <a:defRPr lang="en-US">
                          <a:solidFill>
                            <a:schemeClr val="accent1"/>
                          </a:solidFill>
                        </a:defRPr>
                      </a:pPr>
                      <a:t>[NAZWA KATEGORII]</a:t>
                    </a:fld>
                    <a:r>
                      <a:rPr lang="en-US" sz="1330" dirty="0"/>
                      <a:t> </a:t>
                    </a:r>
                    <a:fld id="{BEBD2E20-6308-42A7-94B2-A53CD06B42BA}" type="PERCENTAGE">
                      <a:rPr lang="en-US" sz="1330" baseline="0" smtClean="0"/>
                      <a:pPr>
                        <a:defRPr lang="en-US">
                          <a:solidFill>
                            <a:schemeClr val="accent1"/>
                          </a:solidFill>
                        </a:defRPr>
                      </a:pPr>
                      <a:t>[PROCENTOWE]</a:t>
                    </a:fld>
                    <a:endParaRPr lang="en-US" sz="1330" dirty="0"/>
                  </a:p>
                </c:rich>
              </c:tx>
              <c:spPr>
                <a:noFill/>
                <a:ln>
                  <a:noFill/>
                </a:ln>
                <a:effectLst/>
              </c:spPr>
              <c:txPr>
                <a:bodyPr rot="0" spcFirstLastPara="1" vertOverflow="ellipsis" vert="horz" wrap="square" lIns="38100" tIns="19050" rIns="38100" bIns="19050" anchor="ctr" anchorCtr="1">
                  <a:noAutofit/>
                </a:bodyPr>
                <a:lstStyle/>
                <a:p>
                  <a:pPr>
                    <a:defRPr lang="en-US" sz="1330" b="1" i="0" u="none" strike="noStrike" kern="1200" spc="0" baseline="0">
                      <a:solidFill>
                        <a:schemeClr val="accent1"/>
                      </a:solidFill>
                      <a:latin typeface="+mn-lt"/>
                      <a:ea typeface="+mn-ea"/>
                      <a:cs typeface="+mn-cs"/>
                    </a:defRPr>
                  </a:pPr>
                  <a:endParaRPr lang="pl-PL"/>
                </a:p>
              </c:txPr>
              <c:dLblPos val="bestFit"/>
              <c:showLegendKey val="0"/>
              <c:showVal val="0"/>
              <c:showCatName val="1"/>
              <c:showSerName val="0"/>
              <c:showPercent val="1"/>
              <c:showBubbleSize val="0"/>
              <c:extLst>
                <c:ext xmlns:c15="http://schemas.microsoft.com/office/drawing/2012/chart" uri="{CE6537A1-D6FC-4f65-9D91-7224C49458BB}">
                  <c15:layout>
                    <c:manualLayout>
                      <c:w val="0.19137951251653035"/>
                      <c:h val="7.9239849608626622E-2"/>
                    </c:manualLayout>
                  </c15:layout>
                  <c15:dlblFieldTable/>
                  <c15:showDataLabelsRange val="0"/>
                </c:ext>
                <c:ext xmlns:c16="http://schemas.microsoft.com/office/drawing/2014/chart" uri="{C3380CC4-5D6E-409C-BE32-E72D297353CC}">
                  <c16:uniqueId val="{00000007-3E9E-41A2-9DAD-A0DCA3DBBDC1}"/>
                </c:ext>
              </c:extLst>
            </c:dLbl>
            <c:spPr>
              <a:noFill/>
              <a:ln>
                <a:noFill/>
              </a:ln>
              <a:effectLst/>
            </c:spPr>
            <c:txPr>
              <a:bodyPr rot="0" spcFirstLastPara="1" vertOverflow="ellipsis" vert="horz" wrap="square" lIns="38100" tIns="19050" rIns="38100" bIns="19050" anchor="ctr" anchorCtr="1">
                <a:spAutoFit/>
              </a:bodyPr>
              <a:lstStyle/>
              <a:p>
                <a:pPr>
                  <a:defRPr lang="en-US" sz="1330" b="1" i="0" u="none" strike="noStrike" kern="1200" spc="0" baseline="0">
                    <a:solidFill>
                      <a:schemeClr val="accent1"/>
                    </a:solidFill>
                    <a:latin typeface="+mn-lt"/>
                    <a:ea typeface="+mn-ea"/>
                    <a:cs typeface="+mn-cs"/>
                  </a:defRPr>
                </a:pPr>
                <a:endParaRPr lang="pl-PL"/>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Ogrzewanie indywidualne</c:v>
                </c:pt>
                <c:pt idx="1">
                  <c:v>Emisja komunikacyjna</c:v>
                </c:pt>
                <c:pt idx="2">
                  <c:v>Przemysł</c:v>
                </c:pt>
                <c:pt idx="3">
                  <c:v>Inne</c:v>
                </c:pt>
              </c:strCache>
            </c:strRef>
          </c:cat>
          <c:val>
            <c:numRef>
              <c:f>Sheet1!$B$2:$B$5</c:f>
              <c:numCache>
                <c:formatCode>General</c:formatCode>
                <c:ptCount val="4"/>
                <c:pt idx="0">
                  <c:v>82.3</c:v>
                </c:pt>
                <c:pt idx="1">
                  <c:v>9.6</c:v>
                </c:pt>
                <c:pt idx="2">
                  <c:v>5.4</c:v>
                </c:pt>
                <c:pt idx="3">
                  <c:v>2.7</c:v>
                </c:pt>
              </c:numCache>
            </c:numRef>
          </c:val>
          <c:extLst>
            <c:ext xmlns:c16="http://schemas.microsoft.com/office/drawing/2014/chart" uri="{C3380CC4-5D6E-409C-BE32-E72D297353CC}">
              <c16:uniqueId val="{00000008-3E9E-41A2-9DAD-A0DCA3DBBDC1}"/>
            </c:ext>
          </c:extLst>
        </c:ser>
        <c:dLbls>
          <c:showLegendKey val="0"/>
          <c:showVal val="0"/>
          <c:showCatName val="0"/>
          <c:showSerName val="0"/>
          <c:showPercent val="1"/>
          <c:showBubbleSize val="0"/>
          <c:showLeaderLines val="1"/>
        </c:dLbls>
        <c:firstSliceAng val="0"/>
      </c:pie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1197" kern="1200" cap="all"/>
  </cs:axisTitle>
  <cs:categoryAxis>
    <cs:lnRef idx="0"/>
    <cs:fillRef idx="0"/>
    <cs:effectRef idx="0"/>
    <cs:fontRef idx="minor">
      <a:schemeClr val="tx1">
        <a:lumMod val="65000"/>
        <a:lumOff val="35000"/>
      </a:schemeClr>
    </cs:fontRef>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cs:styleClr val="auto"/>
    </cs:fontRef>
    <cs:defRPr sz="133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33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2128"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455</TotalTime>
  <Pages>4</Pages>
  <Words>1118</Words>
  <Characters>6714</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Bakura</dc:creator>
  <cp:keywords/>
  <dc:description/>
  <cp:lastModifiedBy>Anna Bakura</cp:lastModifiedBy>
  <cp:revision>23</cp:revision>
  <cp:lastPrinted>2018-01-04T11:35:00Z</cp:lastPrinted>
  <dcterms:created xsi:type="dcterms:W3CDTF">2018-01-03T10:52:00Z</dcterms:created>
  <dcterms:modified xsi:type="dcterms:W3CDTF">2018-01-04T12:01:00Z</dcterms:modified>
</cp:coreProperties>
</file>